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EF" w:rsidRDefault="009447EF" w:rsidP="009447EF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9447EF">
        <w:rPr>
          <w:rFonts w:asciiTheme="minorHAnsi" w:hAnsiTheme="minorHAnsi"/>
          <w:b/>
          <w:sz w:val="32"/>
          <w:szCs w:val="32"/>
          <w:u w:val="single"/>
        </w:rPr>
        <w:t>ОБЩИНСКИ СЪВЕТ – ХИТРИНО, ОБЛАСТ ШУМЕН</w:t>
      </w:r>
    </w:p>
    <w:p w:rsidR="009447EF" w:rsidRPr="009447EF" w:rsidRDefault="009447EF" w:rsidP="009447EF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9447EF" w:rsidRPr="009447EF" w:rsidRDefault="009447EF" w:rsidP="009447EF">
      <w:pPr>
        <w:ind w:left="3540"/>
        <w:rPr>
          <w:rFonts w:asciiTheme="minorHAnsi" w:hAnsiTheme="minorHAnsi"/>
        </w:rPr>
      </w:pPr>
      <w:r w:rsidRPr="009447EF">
        <w:rPr>
          <w:rFonts w:asciiTheme="minorHAnsi" w:hAnsiTheme="minorHAnsi"/>
        </w:rPr>
        <w:t xml:space="preserve">Приложение № 1 от 1 към Решение № 41 от 08.05.2020 г., Протокол № 3, точка 6.2. – </w:t>
      </w:r>
      <w:proofErr w:type="spellStart"/>
      <w:r w:rsidRPr="009447EF">
        <w:rPr>
          <w:rFonts w:asciiTheme="minorHAnsi" w:hAnsiTheme="minorHAnsi"/>
        </w:rPr>
        <w:t>ОбС</w:t>
      </w:r>
      <w:proofErr w:type="spellEnd"/>
      <w:r w:rsidRPr="009447EF">
        <w:rPr>
          <w:rFonts w:asciiTheme="minorHAnsi" w:hAnsiTheme="minorHAnsi"/>
        </w:rPr>
        <w:t xml:space="preserve"> Хитрино</w:t>
      </w:r>
    </w:p>
    <w:p w:rsidR="003A798C" w:rsidRPr="009447EF" w:rsidRDefault="003A798C" w:rsidP="009447EF">
      <w:pPr>
        <w:pStyle w:val="Style64"/>
        <w:widowControl/>
        <w:spacing w:before="43"/>
        <w:jc w:val="center"/>
        <w:rPr>
          <w:rStyle w:val="FontStyle152"/>
          <w:sz w:val="28"/>
          <w:szCs w:val="28"/>
          <w:lang w:val="en-US"/>
        </w:rPr>
      </w:pPr>
      <w:r w:rsidRPr="00FC2F30">
        <w:rPr>
          <w:rStyle w:val="FontStyle152"/>
          <w:sz w:val="28"/>
          <w:szCs w:val="28"/>
        </w:rPr>
        <w:t>ГОДИШЕН ОТЧЕТ ЗА 201</w:t>
      </w:r>
      <w:r w:rsidR="009268EE">
        <w:rPr>
          <w:rStyle w:val="FontStyle152"/>
          <w:sz w:val="28"/>
          <w:szCs w:val="28"/>
        </w:rPr>
        <w:t>9</w:t>
      </w:r>
      <w:r w:rsidRPr="00FC2F30">
        <w:rPr>
          <w:rStyle w:val="FontStyle152"/>
          <w:sz w:val="28"/>
          <w:szCs w:val="28"/>
        </w:rPr>
        <w:t xml:space="preserve"> Г. </w:t>
      </w:r>
      <w:r>
        <w:rPr>
          <w:rStyle w:val="FontStyle152"/>
          <w:sz w:val="28"/>
          <w:szCs w:val="28"/>
        </w:rPr>
        <w:t xml:space="preserve">ПО ИЗПЪЛНЕНИЕ </w:t>
      </w:r>
      <w:r w:rsidRPr="00FC2F30">
        <w:rPr>
          <w:rStyle w:val="FontStyle152"/>
          <w:sz w:val="28"/>
          <w:szCs w:val="28"/>
        </w:rPr>
        <w:t>НА ПЛАНА ЗА ДЕЙСТВИЕ</w:t>
      </w:r>
      <w:r w:rsidR="009447EF">
        <w:rPr>
          <w:rStyle w:val="FontStyle152"/>
          <w:sz w:val="28"/>
          <w:szCs w:val="28"/>
        </w:rPr>
        <w:t xml:space="preserve"> </w:t>
      </w:r>
      <w:r w:rsidRPr="00FC2F30">
        <w:rPr>
          <w:rStyle w:val="FontStyle152"/>
          <w:sz w:val="28"/>
          <w:szCs w:val="28"/>
        </w:rPr>
        <w:t>КЪМ</w:t>
      </w:r>
    </w:p>
    <w:p w:rsidR="003A798C" w:rsidRDefault="003A798C" w:rsidP="003A798C">
      <w:pPr>
        <w:pStyle w:val="Style64"/>
        <w:widowControl/>
        <w:spacing w:before="43"/>
        <w:jc w:val="center"/>
        <w:rPr>
          <w:rStyle w:val="FontStyle152"/>
          <w:sz w:val="28"/>
          <w:szCs w:val="28"/>
        </w:rPr>
      </w:pPr>
      <w:r>
        <w:rPr>
          <w:rStyle w:val="FontStyle152"/>
          <w:sz w:val="28"/>
          <w:szCs w:val="28"/>
        </w:rPr>
        <w:t>„ПРОГРАМА</w:t>
      </w:r>
      <w:r w:rsidRPr="00FC2F30">
        <w:rPr>
          <w:rStyle w:val="FontStyle152"/>
          <w:sz w:val="28"/>
          <w:szCs w:val="28"/>
        </w:rPr>
        <w:t xml:space="preserve"> ЗА </w:t>
      </w:r>
      <w:r>
        <w:rPr>
          <w:rStyle w:val="FontStyle152"/>
          <w:sz w:val="28"/>
          <w:szCs w:val="28"/>
        </w:rPr>
        <w:t>ОПАЗВАНЕ</w:t>
      </w:r>
      <w:r w:rsidRPr="00FC2F30">
        <w:rPr>
          <w:rStyle w:val="FontStyle152"/>
          <w:sz w:val="28"/>
          <w:szCs w:val="28"/>
        </w:rPr>
        <w:t xml:space="preserve"> НА О</w:t>
      </w:r>
      <w:r>
        <w:rPr>
          <w:rStyle w:val="FontStyle152"/>
          <w:sz w:val="28"/>
          <w:szCs w:val="28"/>
        </w:rPr>
        <w:t>КОЛНАТА СРЕДА НА</w:t>
      </w:r>
      <w:r w:rsidRPr="00FC2F30">
        <w:rPr>
          <w:rStyle w:val="FontStyle152"/>
          <w:sz w:val="28"/>
          <w:szCs w:val="28"/>
        </w:rPr>
        <w:t xml:space="preserve"> ОБЩИНА Х</w:t>
      </w:r>
      <w:r>
        <w:rPr>
          <w:rStyle w:val="FontStyle152"/>
          <w:sz w:val="28"/>
          <w:szCs w:val="28"/>
        </w:rPr>
        <w:t xml:space="preserve">ИТРИНО ЗА ПЕРИОДА </w:t>
      </w:r>
    </w:p>
    <w:p w:rsidR="00F35771" w:rsidRPr="009447EF" w:rsidRDefault="003A798C" w:rsidP="009447EF">
      <w:pPr>
        <w:pStyle w:val="Style64"/>
        <w:widowControl/>
        <w:spacing w:before="43"/>
        <w:jc w:val="center"/>
        <w:rPr>
          <w:b/>
          <w:bCs/>
          <w:sz w:val="28"/>
          <w:szCs w:val="28"/>
        </w:rPr>
      </w:pPr>
      <w:r>
        <w:rPr>
          <w:rStyle w:val="FontStyle152"/>
          <w:sz w:val="28"/>
          <w:szCs w:val="28"/>
        </w:rPr>
        <w:t>2016</w:t>
      </w:r>
      <w:r w:rsidRPr="00FC2F30">
        <w:rPr>
          <w:rStyle w:val="FontStyle152"/>
          <w:sz w:val="28"/>
          <w:szCs w:val="28"/>
        </w:rPr>
        <w:t xml:space="preserve"> – 2020 Г.”</w:t>
      </w:r>
    </w:p>
    <w:tbl>
      <w:tblPr>
        <w:tblpPr w:leftFromText="141" w:rightFromText="141" w:vertAnchor="text" w:horzAnchor="margin" w:tblpY="10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960"/>
        <w:gridCol w:w="1440"/>
        <w:gridCol w:w="3600"/>
        <w:gridCol w:w="3060"/>
      </w:tblGrid>
      <w:tr w:rsidR="003D4A4C" w:rsidRPr="00195964" w:rsidTr="007225EE">
        <w:trPr>
          <w:trHeight w:val="699"/>
        </w:trPr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:rsidR="003D4A4C" w:rsidRPr="00195964" w:rsidRDefault="003D4A4C" w:rsidP="007225EE">
            <w:pPr>
              <w:jc w:val="center"/>
              <w:rPr>
                <w:b/>
              </w:rPr>
            </w:pPr>
            <w:r w:rsidRPr="00195964">
              <w:rPr>
                <w:b/>
              </w:rPr>
              <w:t>ДЕЙНОСТ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3D4A4C" w:rsidRPr="00195964" w:rsidRDefault="003D4A4C" w:rsidP="007225EE">
            <w:pPr>
              <w:jc w:val="center"/>
              <w:rPr>
                <w:b/>
              </w:rPr>
            </w:pPr>
            <w:r w:rsidRPr="00195964">
              <w:rPr>
                <w:b/>
              </w:rPr>
              <w:t>ЗАДАЧА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D4A4C" w:rsidRPr="00195964" w:rsidRDefault="003D4A4C" w:rsidP="007225EE">
            <w:pPr>
              <w:jc w:val="center"/>
              <w:rPr>
                <w:b/>
              </w:rPr>
            </w:pPr>
            <w:r w:rsidRPr="00195964">
              <w:rPr>
                <w:b/>
              </w:rPr>
              <w:t>СРОК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3D4A4C" w:rsidRPr="00195964" w:rsidRDefault="003D4A4C" w:rsidP="007225EE">
            <w:pPr>
              <w:jc w:val="center"/>
              <w:rPr>
                <w:b/>
              </w:rPr>
            </w:pPr>
            <w:r w:rsidRPr="00195964">
              <w:rPr>
                <w:b/>
              </w:rPr>
              <w:t>ФИНАНСИРАНЕ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3D4A4C" w:rsidRPr="00195964" w:rsidRDefault="003D4A4C" w:rsidP="007225EE">
            <w:pPr>
              <w:jc w:val="center"/>
              <w:rPr>
                <w:b/>
              </w:rPr>
            </w:pPr>
            <w:r w:rsidRPr="00195964">
              <w:rPr>
                <w:b/>
              </w:rPr>
              <w:t>ЕФЕКТ</w:t>
            </w:r>
          </w:p>
        </w:tc>
      </w:tr>
      <w:tr w:rsidR="003D4A4C" w:rsidRPr="00A03D5B" w:rsidTr="007225EE"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:rsidR="003D4A4C" w:rsidRPr="00A03D5B" w:rsidRDefault="003D4A4C" w:rsidP="007225EE">
            <w:pPr>
              <w:jc w:val="center"/>
              <w:rPr>
                <w:sz w:val="20"/>
                <w:szCs w:val="20"/>
              </w:rPr>
            </w:pPr>
            <w:r w:rsidRPr="00A03D5B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3D4A4C" w:rsidRPr="00A03D5B" w:rsidRDefault="003D4A4C" w:rsidP="007225EE">
            <w:pPr>
              <w:jc w:val="center"/>
              <w:rPr>
                <w:sz w:val="20"/>
                <w:szCs w:val="20"/>
              </w:rPr>
            </w:pPr>
            <w:r w:rsidRPr="00A03D5B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D4A4C" w:rsidRPr="00A03D5B" w:rsidRDefault="003D4A4C" w:rsidP="00722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3D4A4C" w:rsidRPr="00A03D5B" w:rsidRDefault="003D4A4C" w:rsidP="00722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3D4A4C" w:rsidRPr="00A03D5B" w:rsidRDefault="003D4A4C" w:rsidP="00722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D4A4C" w:rsidRPr="00195964" w:rsidTr="007225EE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D4A4C" w:rsidRPr="00A57C05" w:rsidRDefault="003D4A4C" w:rsidP="00E40200">
            <w:pPr>
              <w:numPr>
                <w:ilvl w:val="1"/>
                <w:numId w:val="1"/>
              </w:numPr>
              <w:tabs>
                <w:tab w:val="clear" w:pos="1620"/>
                <w:tab w:val="num" w:pos="426"/>
              </w:tabs>
              <w:autoSpaceDE w:val="0"/>
              <w:autoSpaceDN w:val="0"/>
              <w:adjustRightInd w:val="0"/>
              <w:ind w:hanging="1336"/>
              <w:jc w:val="both"/>
              <w:rPr>
                <w:b/>
                <w:smallCaps/>
              </w:rPr>
            </w:pPr>
            <w:r w:rsidRPr="00195964">
              <w:rPr>
                <w:b/>
                <w:smallCaps/>
              </w:rPr>
              <w:t>Да се  намалят нивата на замърсителите в атмосферния въздух с цел достигане на устано</w:t>
            </w:r>
            <w:r>
              <w:rPr>
                <w:b/>
                <w:smallCaps/>
              </w:rPr>
              <w:t>вените норми за вредни вещества</w:t>
            </w:r>
          </w:p>
        </w:tc>
      </w:tr>
      <w:tr w:rsidR="003D4A4C" w:rsidRPr="00A03D5B" w:rsidTr="007225EE">
        <w:trPr>
          <w:trHeight w:val="893"/>
        </w:trPr>
        <w:tc>
          <w:tcPr>
            <w:tcW w:w="2628" w:type="dxa"/>
            <w:vMerge w:val="restart"/>
            <w:vAlign w:val="center"/>
          </w:tcPr>
          <w:p w:rsidR="003D4A4C" w:rsidRDefault="003D4A4C" w:rsidP="007D4F47">
            <w:pPr>
              <w:rPr>
                <w:b/>
                <w:smallCaps/>
                <w:sz w:val="20"/>
                <w:szCs w:val="20"/>
              </w:rPr>
            </w:pPr>
          </w:p>
          <w:p w:rsidR="003D4A4C" w:rsidRPr="007B2516" w:rsidRDefault="003D4A4C" w:rsidP="007D4F4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7B2516">
              <w:rPr>
                <w:b/>
                <w:smallCaps/>
                <w:sz w:val="20"/>
                <w:szCs w:val="20"/>
              </w:rPr>
              <w:t xml:space="preserve">Ограничаване </w:t>
            </w:r>
            <w:r>
              <w:rPr>
                <w:b/>
                <w:smallCaps/>
                <w:sz w:val="20"/>
                <w:szCs w:val="20"/>
              </w:rPr>
              <w:t xml:space="preserve">на </w:t>
            </w:r>
            <w:r w:rsidRPr="007B2516">
              <w:rPr>
                <w:b/>
                <w:smallCaps/>
                <w:sz w:val="20"/>
                <w:szCs w:val="20"/>
              </w:rPr>
              <w:t xml:space="preserve"> емисиите от транспорта</w:t>
            </w: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Реализация на инвестиционните проекти свързани с реконструкция на улици</w:t>
            </w:r>
          </w:p>
          <w:p w:rsidR="00390427" w:rsidRDefault="00390427" w:rsidP="00390427">
            <w:pPr>
              <w:jc w:val="both"/>
              <w:rPr>
                <w:b/>
                <w:iCs/>
                <w:sz w:val="20"/>
                <w:shd w:val="clear" w:color="auto" w:fill="C6D9F1" w:themeFill="text2" w:themeFillTint="33"/>
              </w:rPr>
            </w:pPr>
            <w:r w:rsidRPr="008870E7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През 201</w:t>
            </w:r>
            <w:r w:rsidR="009268EE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9</w:t>
            </w:r>
            <w:r w:rsidRPr="008870E7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г. </w:t>
            </w:r>
            <w:r w:rsidR="009268EE" w:rsidRPr="008870E7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r w:rsidR="009268EE" w:rsidRPr="009268EE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продължава </w:t>
            </w:r>
            <w:r w:rsidRPr="008870E7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реализацията на</w:t>
            </w:r>
            <w:r w:rsidR="00B904CA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следните инвестиционни проекти</w:t>
            </w:r>
            <w:r w:rsidRPr="008870E7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:</w:t>
            </w:r>
          </w:p>
          <w:p w:rsidR="00390427" w:rsidRPr="008870E7" w:rsidRDefault="00390427" w:rsidP="00390427">
            <w:pPr>
              <w:jc w:val="both"/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</w:pPr>
            <w:r w:rsidRPr="008870E7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-</w:t>
            </w:r>
            <w:r w:rsidR="00CF0B76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r w:rsidRPr="008870E7">
              <w:rPr>
                <w:b/>
                <w:sz w:val="20"/>
                <w:szCs w:val="20"/>
                <w:highlight w:val="lightGray"/>
              </w:rPr>
              <w:t>„Реконструкция и рехабилитация на уличната мрежа в с. Хитрино, област Шумен, в рамките на проект: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Хитрино“, с ИД № 27/07/2/0/00932“;</w:t>
            </w:r>
          </w:p>
          <w:p w:rsidR="00390427" w:rsidRPr="008870E7" w:rsidRDefault="00390427" w:rsidP="00390427">
            <w:pPr>
              <w:rPr>
                <w:b/>
                <w:bCs/>
                <w:sz w:val="20"/>
                <w:szCs w:val="20"/>
                <w:highlight w:val="lightGray"/>
                <w:lang w:val="ru-RU"/>
              </w:rPr>
            </w:pPr>
            <w:r w:rsidRPr="008870E7">
              <w:rPr>
                <w:sz w:val="20"/>
                <w:szCs w:val="20"/>
                <w:highlight w:val="lightGray"/>
              </w:rPr>
              <w:t>-</w:t>
            </w:r>
            <w:r w:rsidR="00CF0B76">
              <w:rPr>
                <w:sz w:val="20"/>
                <w:szCs w:val="20"/>
                <w:highlight w:val="lightGray"/>
              </w:rPr>
              <w:t xml:space="preserve"> </w:t>
            </w:r>
            <w:r w:rsidRPr="008870E7">
              <w:rPr>
                <w:b/>
                <w:bCs/>
                <w:sz w:val="20"/>
                <w:szCs w:val="20"/>
                <w:highlight w:val="lightGray"/>
              </w:rPr>
              <w:t>„Реконструкция и рехабилитация на уличната мрежа в с. Хитрино, област Шумен, в рамките на проект: „Устойчив жизнен стандарт и нараснала привлекателност за населението, чрез реконструкция и рехабилитация на уличната мрежа на с. Хитрино, община Хитрино“, с ИД № 27/07/2/0/00933“;</w:t>
            </w:r>
          </w:p>
          <w:p w:rsidR="00390427" w:rsidRPr="008870E7" w:rsidRDefault="00390427" w:rsidP="00390427">
            <w:pPr>
              <w:rPr>
                <w:b/>
                <w:sz w:val="20"/>
                <w:szCs w:val="20"/>
                <w:highlight w:val="lightGray"/>
                <w:lang w:val="ru-RU"/>
              </w:rPr>
            </w:pPr>
            <w:r w:rsidRPr="008870E7">
              <w:rPr>
                <w:sz w:val="20"/>
                <w:szCs w:val="20"/>
                <w:highlight w:val="lightGray"/>
              </w:rPr>
              <w:t>-</w:t>
            </w:r>
            <w:r w:rsidR="00CF0B76">
              <w:rPr>
                <w:sz w:val="20"/>
                <w:szCs w:val="20"/>
                <w:highlight w:val="lightGray"/>
              </w:rPr>
              <w:t xml:space="preserve"> </w:t>
            </w:r>
            <w:r w:rsidRPr="008870E7">
              <w:rPr>
                <w:b/>
                <w:sz w:val="20"/>
                <w:szCs w:val="20"/>
                <w:highlight w:val="lightGray"/>
              </w:rPr>
              <w:t xml:space="preserve">„Реконструкция и рехабилитация на уличната мрежа в с. Хитрино, област Шумен, в рамките на проект: „Обновление на с. Хитрино, община Хитрино, чрез реконструкция и рехабилитация на уличната мрежа“, с </w:t>
            </w:r>
            <w:r w:rsidRPr="008870E7">
              <w:rPr>
                <w:b/>
                <w:sz w:val="20"/>
                <w:szCs w:val="20"/>
                <w:highlight w:val="lightGray"/>
              </w:rPr>
              <w:lastRenderedPageBreak/>
              <w:t>ИД № 27/07/2/0/00934“;</w:t>
            </w:r>
          </w:p>
          <w:p w:rsidR="00390427" w:rsidRPr="00A03D5B" w:rsidRDefault="00390427" w:rsidP="007225EE">
            <w:pPr>
              <w:jc w:val="both"/>
              <w:rPr>
                <w:sz w:val="20"/>
                <w:szCs w:val="20"/>
              </w:rPr>
            </w:pPr>
            <w:r w:rsidRPr="008870E7">
              <w:rPr>
                <w:sz w:val="20"/>
                <w:szCs w:val="20"/>
                <w:highlight w:val="lightGray"/>
              </w:rPr>
              <w:t>-</w:t>
            </w:r>
            <w:r w:rsidR="00CF0B76">
              <w:rPr>
                <w:sz w:val="20"/>
                <w:szCs w:val="20"/>
                <w:highlight w:val="lightGray"/>
              </w:rPr>
              <w:t xml:space="preserve"> </w:t>
            </w:r>
            <w:r w:rsidRPr="008870E7">
              <w:rPr>
                <w:b/>
                <w:bCs/>
                <w:sz w:val="20"/>
                <w:szCs w:val="20"/>
                <w:highlight w:val="lightGray"/>
              </w:rPr>
              <w:t>„Реконструкция и рехабилитация на уличната мрежа в с. Хитрино, област Шумен, в рамките на проект: „Създаване на подобрена среда за живот на населението, чрез реконструкция и рехабилитация на уличната мрежа на с. Хитрино, община Хитрино“, с ИД № 27/07/2/0/00935“</w:t>
            </w:r>
          </w:p>
        </w:tc>
        <w:tc>
          <w:tcPr>
            <w:tcW w:w="1440" w:type="dxa"/>
            <w:vAlign w:val="center"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2016 - 2020 г.</w:t>
            </w:r>
          </w:p>
        </w:tc>
        <w:tc>
          <w:tcPr>
            <w:tcW w:w="3600" w:type="dxa"/>
            <w:vMerge w:val="restart"/>
            <w:vAlign w:val="center"/>
          </w:tcPr>
          <w:p w:rsidR="003D4A4C" w:rsidRDefault="003D4A4C" w:rsidP="007225EE">
            <w:pPr>
              <w:ind w:right="-108"/>
              <w:jc w:val="both"/>
              <w:rPr>
                <w:sz w:val="20"/>
              </w:rPr>
            </w:pPr>
          </w:p>
          <w:p w:rsidR="003D4A4C" w:rsidRPr="00514FE1" w:rsidRDefault="003D4A4C" w:rsidP="007225EE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ПРСР </w:t>
            </w:r>
            <w:r w:rsidRPr="00090F48">
              <w:rPr>
                <w:sz w:val="20"/>
              </w:rPr>
              <w:t>2014-2020</w:t>
            </w:r>
            <w:r w:rsidRPr="00514FE1">
              <w:rPr>
                <w:sz w:val="20"/>
              </w:rPr>
              <w:t>, от</w:t>
            </w:r>
          </w:p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  <w:r w:rsidRPr="00514FE1">
              <w:rPr>
                <w:sz w:val="20"/>
              </w:rPr>
              <w:t>такса смет</w:t>
            </w:r>
            <w:r>
              <w:rPr>
                <w:sz w:val="20"/>
              </w:rPr>
              <w:t xml:space="preserve"> и собствени средства</w:t>
            </w:r>
          </w:p>
        </w:tc>
        <w:tc>
          <w:tcPr>
            <w:tcW w:w="3060" w:type="dxa"/>
            <w:vMerge w:val="restart"/>
            <w:vAlign w:val="center"/>
          </w:tcPr>
          <w:p w:rsidR="003D4A4C" w:rsidRDefault="003D4A4C" w:rsidP="007225EE">
            <w:pPr>
              <w:rPr>
                <w:sz w:val="20"/>
              </w:rPr>
            </w:pPr>
          </w:p>
          <w:p w:rsidR="003D4A4C" w:rsidRDefault="003D4A4C" w:rsidP="007225EE">
            <w:pPr>
              <w:rPr>
                <w:sz w:val="20"/>
              </w:rPr>
            </w:pPr>
          </w:p>
          <w:p w:rsidR="003D4A4C" w:rsidRPr="00514FE1" w:rsidRDefault="003D4A4C" w:rsidP="007225EE">
            <w:pPr>
              <w:rPr>
                <w:sz w:val="20"/>
              </w:rPr>
            </w:pPr>
            <w:r w:rsidRPr="00514FE1">
              <w:rPr>
                <w:sz w:val="20"/>
              </w:rPr>
              <w:t>Намаляване на н</w:t>
            </w:r>
            <w:r>
              <w:rPr>
                <w:sz w:val="20"/>
              </w:rPr>
              <w:t xml:space="preserve">еорганизираните </w:t>
            </w:r>
            <w:proofErr w:type="spellStart"/>
            <w:r w:rsidRPr="00514FE1">
              <w:rPr>
                <w:sz w:val="20"/>
              </w:rPr>
              <w:t>прахови</w:t>
            </w:r>
            <w:proofErr w:type="spellEnd"/>
            <w:r w:rsidRPr="00514FE1">
              <w:rPr>
                <w:sz w:val="20"/>
              </w:rPr>
              <w:t xml:space="preserve"> емисии;</w:t>
            </w:r>
          </w:p>
          <w:p w:rsidR="003D4A4C" w:rsidRPr="00514FE1" w:rsidRDefault="003D4A4C" w:rsidP="007225EE">
            <w:pPr>
              <w:rPr>
                <w:sz w:val="20"/>
              </w:rPr>
            </w:pPr>
            <w:r w:rsidRPr="00514FE1">
              <w:rPr>
                <w:sz w:val="20"/>
              </w:rPr>
              <w:t>Снижаване на замърсяването на въздуха с емисии, изпускани с автомобилните газове (прах, азотни, серни и въглеродни оксиди, сажди, летливи органични съединения)</w:t>
            </w:r>
          </w:p>
          <w:p w:rsidR="003D4A4C" w:rsidRPr="00A03D5B" w:rsidRDefault="003D4A4C" w:rsidP="007225EE">
            <w:pPr>
              <w:rPr>
                <w:sz w:val="20"/>
                <w:szCs w:val="20"/>
              </w:rPr>
            </w:pPr>
          </w:p>
        </w:tc>
      </w:tr>
      <w:tr w:rsidR="003D4A4C" w:rsidRPr="00A03D5B" w:rsidTr="007225EE">
        <w:trPr>
          <w:trHeight w:val="986"/>
        </w:trPr>
        <w:tc>
          <w:tcPr>
            <w:tcW w:w="2628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rPr>
                <w:sz w:val="20"/>
              </w:rPr>
            </w:pPr>
            <w:r w:rsidRPr="00514FE1">
              <w:rPr>
                <w:sz w:val="20"/>
              </w:rPr>
              <w:t>Почистване на основните пътни артерии  от натрупан прах и осигуряване на поддържането им в добро техническо състояние</w:t>
            </w:r>
          </w:p>
        </w:tc>
        <w:tc>
          <w:tcPr>
            <w:tcW w:w="144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3600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</w:tr>
      <w:tr w:rsidR="003D4A4C" w:rsidRPr="00A03D5B" w:rsidTr="007225EE">
        <w:trPr>
          <w:trHeight w:val="460"/>
        </w:trPr>
        <w:tc>
          <w:tcPr>
            <w:tcW w:w="2628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3D4A4C" w:rsidRDefault="003D4A4C" w:rsidP="007225EE">
            <w:pPr>
              <w:jc w:val="both"/>
              <w:rPr>
                <w:sz w:val="20"/>
              </w:rPr>
            </w:pPr>
            <w:r w:rsidRPr="00514FE1">
              <w:rPr>
                <w:sz w:val="20"/>
              </w:rPr>
              <w:t xml:space="preserve">Изпълнение на задължителните условия при транспорт на </w:t>
            </w:r>
            <w:proofErr w:type="spellStart"/>
            <w:r w:rsidRPr="00514FE1">
              <w:rPr>
                <w:sz w:val="20"/>
              </w:rPr>
              <w:t>прахообразуващи</w:t>
            </w:r>
            <w:proofErr w:type="spellEnd"/>
            <w:r w:rsidRPr="00514FE1">
              <w:rPr>
                <w:sz w:val="20"/>
              </w:rPr>
              <w:t xml:space="preserve"> товари за наличие на покривало на всеки автомобил</w:t>
            </w:r>
          </w:p>
          <w:p w:rsidR="003635DC" w:rsidRPr="00A03D5B" w:rsidRDefault="003635DC" w:rsidP="003635DC">
            <w:pPr>
              <w:jc w:val="both"/>
              <w:rPr>
                <w:sz w:val="20"/>
                <w:szCs w:val="20"/>
              </w:rPr>
            </w:pPr>
            <w:r w:rsidRPr="003635DC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Изискване към всички инвестиционни проекти да бъде включено в част (ПУСО)</w:t>
            </w:r>
          </w:p>
        </w:tc>
        <w:tc>
          <w:tcPr>
            <w:tcW w:w="144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</w:p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3600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</w:tr>
      <w:tr w:rsidR="003D4A4C" w:rsidRPr="00A03D5B" w:rsidTr="007225EE">
        <w:trPr>
          <w:trHeight w:val="1160"/>
        </w:trPr>
        <w:tc>
          <w:tcPr>
            <w:tcW w:w="2628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3635DC" w:rsidRDefault="003D4A4C" w:rsidP="007225EE">
            <w:pPr>
              <w:jc w:val="both"/>
              <w:rPr>
                <w:sz w:val="20"/>
                <w:szCs w:val="20"/>
              </w:rPr>
            </w:pPr>
            <w:r w:rsidRPr="00026C0B">
              <w:rPr>
                <w:iCs/>
                <w:sz w:val="20"/>
              </w:rPr>
              <w:t>Въвеждане на оптимизиран режим на почистване и миене на улиците</w:t>
            </w:r>
          </w:p>
          <w:p w:rsidR="003D4A4C" w:rsidRPr="003635DC" w:rsidRDefault="003D4A4C" w:rsidP="003635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D4A4C" w:rsidRPr="00265EBB" w:rsidRDefault="003D4A4C" w:rsidP="007225EE">
            <w:pPr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265EBB">
              <w:rPr>
                <w:sz w:val="20"/>
              </w:rPr>
              <w:t>остоянен</w:t>
            </w:r>
          </w:p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</w:tr>
      <w:tr w:rsidR="003D4A4C" w:rsidRPr="00A03D5B" w:rsidTr="007225EE">
        <w:trPr>
          <w:trHeight w:val="1219"/>
        </w:trPr>
        <w:tc>
          <w:tcPr>
            <w:tcW w:w="2628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Изгр</w:t>
            </w:r>
            <w:r w:rsidR="003B3C18">
              <w:rPr>
                <w:sz w:val="20"/>
                <w:szCs w:val="20"/>
              </w:rPr>
              <w:t xml:space="preserve">аждане на </w:t>
            </w:r>
            <w:proofErr w:type="spellStart"/>
            <w:r w:rsidR="003B3C18">
              <w:rPr>
                <w:sz w:val="20"/>
                <w:szCs w:val="20"/>
              </w:rPr>
              <w:t>прахо</w:t>
            </w:r>
            <w:proofErr w:type="spellEnd"/>
            <w:r w:rsidR="003B3C18">
              <w:rPr>
                <w:sz w:val="20"/>
                <w:szCs w:val="20"/>
              </w:rPr>
              <w:t xml:space="preserve"> и </w:t>
            </w:r>
            <w:proofErr w:type="spellStart"/>
            <w:r w:rsidR="003B3C18">
              <w:rPr>
                <w:sz w:val="20"/>
                <w:szCs w:val="20"/>
              </w:rPr>
              <w:t>шумо</w:t>
            </w:r>
            <w:proofErr w:type="spellEnd"/>
            <w:r w:rsidR="003B3C18">
              <w:rPr>
                <w:sz w:val="20"/>
                <w:szCs w:val="20"/>
              </w:rPr>
              <w:t xml:space="preserve"> изолиращ</w:t>
            </w:r>
            <w:r>
              <w:rPr>
                <w:sz w:val="20"/>
                <w:szCs w:val="20"/>
              </w:rPr>
              <w:t>и п</w:t>
            </w:r>
            <w:r w:rsidR="003B3C18">
              <w:rPr>
                <w:sz w:val="20"/>
                <w:szCs w:val="20"/>
              </w:rPr>
              <w:t>аравани в училища, детски гради</w:t>
            </w:r>
            <w:r w:rsidR="001E2C89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 от дървесна и храстова растителност</w:t>
            </w:r>
          </w:p>
          <w:p w:rsidR="00E40200" w:rsidRDefault="003B3C18" w:rsidP="007225EE">
            <w:pPr>
              <w:rPr>
                <w:sz w:val="20"/>
                <w:szCs w:val="20"/>
              </w:rPr>
            </w:pPr>
            <w:r w:rsidRPr="003B3C18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При изготвянето на инвестиционни проекти за детски градини, училища се поставя като изискване</w:t>
            </w:r>
          </w:p>
          <w:p w:rsidR="00FF489B" w:rsidRPr="00E40200" w:rsidRDefault="00FF489B" w:rsidP="007225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2016 - 2020 г.</w:t>
            </w:r>
          </w:p>
        </w:tc>
        <w:tc>
          <w:tcPr>
            <w:tcW w:w="3600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</w:tr>
      <w:tr w:rsidR="003D4A4C" w:rsidRPr="00557648" w:rsidTr="007225EE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A4C" w:rsidRPr="003025C9" w:rsidRDefault="003D4A4C" w:rsidP="007225EE">
            <w:pPr>
              <w:numPr>
                <w:ilvl w:val="1"/>
                <w:numId w:val="1"/>
              </w:numPr>
              <w:tabs>
                <w:tab w:val="clear" w:pos="1620"/>
                <w:tab w:val="num" w:pos="426"/>
              </w:tabs>
              <w:ind w:hanging="1336"/>
              <w:jc w:val="both"/>
              <w:rPr>
                <w:b/>
                <w:smallCaps/>
              </w:rPr>
            </w:pPr>
            <w:r w:rsidRPr="00557648">
              <w:rPr>
                <w:b/>
                <w:smallCaps/>
              </w:rPr>
              <w:t>Обогатяване и доизграждане на Зелената система</w:t>
            </w:r>
          </w:p>
        </w:tc>
      </w:tr>
      <w:tr w:rsidR="003D4A4C" w:rsidRPr="00A03D5B" w:rsidTr="007225EE">
        <w:trPr>
          <w:trHeight w:val="700"/>
        </w:trPr>
        <w:tc>
          <w:tcPr>
            <w:tcW w:w="2628" w:type="dxa"/>
            <w:vAlign w:val="center"/>
          </w:tcPr>
          <w:p w:rsidR="003D4A4C" w:rsidRPr="00763312" w:rsidRDefault="003D4A4C" w:rsidP="007225EE">
            <w:pPr>
              <w:jc w:val="both"/>
              <w:rPr>
                <w:b/>
                <w:smallCaps/>
                <w:sz w:val="20"/>
                <w:szCs w:val="20"/>
                <w:highlight w:val="red"/>
              </w:rPr>
            </w:pPr>
            <w:r w:rsidRPr="00516036">
              <w:rPr>
                <w:b/>
                <w:smallCaps/>
                <w:sz w:val="20"/>
                <w:szCs w:val="20"/>
              </w:rPr>
              <w:t>Развитие на системата от паркове</w:t>
            </w: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 w:rsidRPr="00516036">
              <w:rPr>
                <w:sz w:val="20"/>
                <w:szCs w:val="20"/>
              </w:rPr>
              <w:t>Проектна готовност  за изграждане на паркови пространства в населените места</w:t>
            </w:r>
          </w:p>
          <w:p w:rsidR="00E40200" w:rsidRPr="00E40200" w:rsidRDefault="00E40200" w:rsidP="00E40200">
            <w:pPr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</w:pPr>
            <w:r w:rsidRPr="00E40200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4 бр. за Хитрино;</w:t>
            </w:r>
          </w:p>
          <w:p w:rsidR="00E40200" w:rsidRPr="00A03D5B" w:rsidRDefault="00E40200" w:rsidP="00E40200">
            <w:pPr>
              <w:jc w:val="both"/>
              <w:rPr>
                <w:sz w:val="20"/>
                <w:szCs w:val="20"/>
              </w:rPr>
            </w:pPr>
            <w:r w:rsidRPr="00E40200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20 бр. за всички населени места</w:t>
            </w:r>
          </w:p>
        </w:tc>
        <w:tc>
          <w:tcPr>
            <w:tcW w:w="1440" w:type="dxa"/>
            <w:vAlign w:val="center"/>
          </w:tcPr>
          <w:p w:rsidR="003D4A4C" w:rsidRPr="00A03D5B" w:rsidRDefault="003D4A4C" w:rsidP="0072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2016 - 2020 г.</w:t>
            </w:r>
          </w:p>
        </w:tc>
        <w:tc>
          <w:tcPr>
            <w:tcW w:w="3600" w:type="dxa"/>
            <w:vAlign w:val="center"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ПРСР 2014-2020,</w:t>
            </w:r>
            <w:r>
              <w:rPr>
                <w:sz w:val="20"/>
                <w:szCs w:val="20"/>
              </w:rPr>
              <w:t xml:space="preserve"> външно финансиране,</w:t>
            </w:r>
            <w:r>
              <w:rPr>
                <w:sz w:val="20"/>
              </w:rPr>
              <w:t xml:space="preserve"> собствени средства</w:t>
            </w:r>
          </w:p>
        </w:tc>
        <w:tc>
          <w:tcPr>
            <w:tcW w:w="3060" w:type="dxa"/>
            <w:vAlign w:val="center"/>
          </w:tcPr>
          <w:p w:rsidR="003D4A4C" w:rsidRPr="003162FD" w:rsidRDefault="003D4A4C" w:rsidP="007225EE">
            <w:pPr>
              <w:jc w:val="both"/>
              <w:rPr>
                <w:sz w:val="20"/>
                <w:szCs w:val="20"/>
              </w:rPr>
            </w:pPr>
            <w:r w:rsidRPr="003162FD">
              <w:rPr>
                <w:sz w:val="20"/>
                <w:szCs w:val="20"/>
              </w:rPr>
              <w:t>Постигане на устойчивост на Зелената система</w:t>
            </w:r>
          </w:p>
        </w:tc>
      </w:tr>
      <w:tr w:rsidR="003D4A4C" w:rsidRPr="007B64AC" w:rsidTr="007225EE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D4A4C" w:rsidRPr="007B64AC" w:rsidRDefault="003D4A4C" w:rsidP="007225EE">
            <w:pPr>
              <w:numPr>
                <w:ilvl w:val="1"/>
                <w:numId w:val="1"/>
              </w:numPr>
              <w:tabs>
                <w:tab w:val="clear" w:pos="1620"/>
                <w:tab w:val="num" w:pos="142"/>
              </w:tabs>
              <w:ind w:hanging="1053"/>
              <w:jc w:val="both"/>
              <w:rPr>
                <w:b/>
                <w:smallCaps/>
                <w:lang w:val="en-US"/>
              </w:rPr>
            </w:pPr>
            <w:r w:rsidRPr="00557648">
              <w:rPr>
                <w:b/>
                <w:smallCaps/>
              </w:rPr>
              <w:t>О</w:t>
            </w:r>
            <w:r>
              <w:rPr>
                <w:b/>
                <w:smallCaps/>
              </w:rPr>
              <w:t>пазване и поддържане на биологичното разнообразие</w:t>
            </w:r>
          </w:p>
        </w:tc>
      </w:tr>
      <w:tr w:rsidR="003D4A4C" w:rsidRPr="007B64AC" w:rsidTr="007225EE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pPr w:leftFromText="141" w:rightFromText="141" w:vertAnchor="text" w:horzAnchor="margin" w:tblpY="10"/>
              <w:tblW w:w="14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8"/>
              <w:gridCol w:w="3960"/>
              <w:gridCol w:w="1440"/>
              <w:gridCol w:w="3600"/>
              <w:gridCol w:w="3060"/>
            </w:tblGrid>
            <w:tr w:rsidR="003D4A4C" w:rsidRPr="00C775B7" w:rsidTr="007225EE">
              <w:trPr>
                <w:trHeight w:val="280"/>
              </w:trPr>
              <w:tc>
                <w:tcPr>
                  <w:tcW w:w="2628" w:type="dxa"/>
                  <w:vAlign w:val="center"/>
                </w:tcPr>
                <w:p w:rsidR="003D4A4C" w:rsidRPr="00C775B7" w:rsidRDefault="00BB2368" w:rsidP="007225EE">
                  <w:pPr>
                    <w:jc w:val="both"/>
                    <w:rPr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sz w:val="20"/>
                      <w:szCs w:val="20"/>
                    </w:rPr>
                    <w:t>Устойчиво ползване на лечебните растения</w:t>
                  </w:r>
                </w:p>
              </w:tc>
              <w:tc>
                <w:tcPr>
                  <w:tcW w:w="3960" w:type="dxa"/>
                  <w:vAlign w:val="center"/>
                </w:tcPr>
                <w:p w:rsidR="003D4A4C" w:rsidRDefault="003D4A4C" w:rsidP="007225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Създаване на </w:t>
                  </w:r>
                  <w:r w:rsidRPr="008B0F95">
                    <w:rPr>
                      <w:sz w:val="20"/>
                      <w:szCs w:val="20"/>
                    </w:rPr>
                    <w:t>организа</w:t>
                  </w:r>
                  <w:r>
                    <w:rPr>
                      <w:sz w:val="20"/>
                      <w:szCs w:val="20"/>
                    </w:rPr>
                    <w:t>ция за</w:t>
                  </w:r>
                  <w:r w:rsidRPr="008B0F95">
                    <w:rPr>
                      <w:sz w:val="20"/>
                      <w:szCs w:val="20"/>
                    </w:rPr>
                    <w:t xml:space="preserve"> събиране на билки от находища в о</w:t>
                  </w:r>
                  <w:r w:rsidR="00BB2368">
                    <w:rPr>
                      <w:sz w:val="20"/>
                      <w:szCs w:val="20"/>
                    </w:rPr>
                    <w:t xml:space="preserve">бщински земи и </w:t>
                  </w:r>
                  <w:r w:rsidR="00BB2368">
                    <w:rPr>
                      <w:sz w:val="20"/>
                      <w:szCs w:val="20"/>
                    </w:rPr>
                    <w:lastRenderedPageBreak/>
                    <w:t>съответно реализа</w:t>
                  </w:r>
                  <w:r>
                    <w:rPr>
                      <w:sz w:val="20"/>
                      <w:szCs w:val="20"/>
                    </w:rPr>
                    <w:t>ция на</w:t>
                  </w:r>
                  <w:r w:rsidRPr="008B0F95">
                    <w:rPr>
                      <w:sz w:val="20"/>
                      <w:szCs w:val="20"/>
                    </w:rPr>
                    <w:t xml:space="preserve"> приходи от такси, включително като се възползват от програми за заетост на безработни</w:t>
                  </w:r>
                </w:p>
                <w:p w:rsidR="00BB2368" w:rsidRPr="008B0F95" w:rsidRDefault="00BB2368" w:rsidP="007225EE">
                  <w:pPr>
                    <w:jc w:val="both"/>
                    <w:rPr>
                      <w:sz w:val="20"/>
                      <w:szCs w:val="20"/>
                    </w:rPr>
                  </w:pPr>
                  <w:r w:rsidRPr="00BB2368">
                    <w:rPr>
                      <w:b/>
                      <w:sz w:val="20"/>
                      <w:szCs w:val="20"/>
                      <w:highlight w:val="lightGray"/>
                      <w:shd w:val="clear" w:color="auto" w:fill="C6D9F1" w:themeFill="text2" w:themeFillTint="33"/>
                    </w:rPr>
                    <w:t>Издават се разрешителни за бране на билки от общински територии</w:t>
                  </w:r>
                </w:p>
              </w:tc>
              <w:tc>
                <w:tcPr>
                  <w:tcW w:w="1440" w:type="dxa"/>
                  <w:vAlign w:val="center"/>
                </w:tcPr>
                <w:p w:rsidR="003D4A4C" w:rsidRDefault="00BB2368" w:rsidP="007225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2016 - 2020 г.</w:t>
                  </w:r>
                </w:p>
              </w:tc>
              <w:tc>
                <w:tcPr>
                  <w:tcW w:w="3600" w:type="dxa"/>
                  <w:vAlign w:val="center"/>
                </w:tcPr>
                <w:p w:rsidR="003D4A4C" w:rsidRDefault="00BB2368" w:rsidP="007225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Собствени средства, външно финансиране</w:t>
                  </w:r>
                </w:p>
              </w:tc>
              <w:tc>
                <w:tcPr>
                  <w:tcW w:w="3060" w:type="dxa"/>
                  <w:vAlign w:val="center"/>
                </w:tcPr>
                <w:p w:rsidR="003D4A4C" w:rsidRPr="00C775B7" w:rsidRDefault="00BB2368" w:rsidP="007225EE">
                  <w:pPr>
                    <w:jc w:val="both"/>
                    <w:rPr>
                      <w:sz w:val="20"/>
                      <w:szCs w:val="20"/>
                    </w:rPr>
                  </w:pPr>
                  <w:r w:rsidRPr="007428F2">
                    <w:rPr>
                      <w:sz w:val="20"/>
                      <w:szCs w:val="20"/>
                    </w:rPr>
                    <w:t xml:space="preserve">Устойчиво </w:t>
                  </w:r>
                  <w:r w:rsidRPr="007428F2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ползване и опазване на лечебните растения</w:t>
                  </w:r>
                </w:p>
              </w:tc>
            </w:tr>
            <w:tr w:rsidR="003D4A4C" w:rsidRPr="003162FD" w:rsidTr="007225EE">
              <w:trPr>
                <w:trHeight w:val="700"/>
              </w:trPr>
              <w:tc>
                <w:tcPr>
                  <w:tcW w:w="2628" w:type="dxa"/>
                  <w:vAlign w:val="center"/>
                </w:tcPr>
                <w:p w:rsidR="003D4A4C" w:rsidRPr="007445E8" w:rsidRDefault="003D4A4C" w:rsidP="007225EE">
                  <w:pPr>
                    <w:jc w:val="both"/>
                    <w:rPr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sz w:val="20"/>
                      <w:szCs w:val="20"/>
                    </w:rPr>
                    <w:lastRenderedPageBreak/>
                    <w:t>Устойчиво ползване на горските ресурси</w:t>
                  </w:r>
                </w:p>
              </w:tc>
              <w:tc>
                <w:tcPr>
                  <w:tcW w:w="3960" w:type="dxa"/>
                  <w:vAlign w:val="center"/>
                </w:tcPr>
                <w:p w:rsidR="003D4A4C" w:rsidRDefault="003D4A4C" w:rsidP="007225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Изпълнение на мерките заложени в плана за управление на общинските горски територии</w:t>
                  </w:r>
                </w:p>
                <w:p w:rsidR="00AE25E2" w:rsidRPr="00AE25E2" w:rsidRDefault="00AE25E2" w:rsidP="007225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AE25E2">
                    <w:rPr>
                      <w:b/>
                      <w:sz w:val="20"/>
                      <w:szCs w:val="20"/>
                      <w:highlight w:val="lightGray"/>
                    </w:rPr>
                    <w:t>Мерките се изпълняват</w:t>
                  </w:r>
                </w:p>
              </w:tc>
              <w:tc>
                <w:tcPr>
                  <w:tcW w:w="1440" w:type="dxa"/>
                  <w:vAlign w:val="center"/>
                </w:tcPr>
                <w:p w:rsidR="003D4A4C" w:rsidRPr="00A03D5B" w:rsidRDefault="003D4A4C" w:rsidP="007225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2016 - 2020 г.</w:t>
                  </w:r>
                </w:p>
              </w:tc>
              <w:tc>
                <w:tcPr>
                  <w:tcW w:w="3600" w:type="dxa"/>
                  <w:vAlign w:val="center"/>
                </w:tcPr>
                <w:p w:rsidR="003D4A4C" w:rsidRPr="00A03D5B" w:rsidRDefault="003D4A4C" w:rsidP="007225E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Собствени средства, външно финансиране</w:t>
                  </w:r>
                </w:p>
              </w:tc>
              <w:tc>
                <w:tcPr>
                  <w:tcW w:w="3060" w:type="dxa"/>
                  <w:vAlign w:val="center"/>
                </w:tcPr>
                <w:p w:rsidR="003D4A4C" w:rsidRPr="007428F2" w:rsidRDefault="003D4A4C" w:rsidP="007225EE">
                  <w:pPr>
                    <w:jc w:val="both"/>
                    <w:rPr>
                      <w:sz w:val="20"/>
                      <w:szCs w:val="20"/>
                    </w:rPr>
                  </w:pPr>
                  <w:r w:rsidRPr="007428F2">
                    <w:rPr>
                      <w:sz w:val="20"/>
                      <w:szCs w:val="20"/>
                    </w:rPr>
                    <w:t xml:space="preserve">Устойчиво </w:t>
                  </w:r>
                  <w:r w:rsidRPr="007428F2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ползване и опа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зване на горските ресурси</w:t>
                  </w:r>
                </w:p>
              </w:tc>
            </w:tr>
          </w:tbl>
          <w:p w:rsidR="003D4A4C" w:rsidRPr="007B64AC" w:rsidRDefault="003D4A4C" w:rsidP="007225EE">
            <w:pPr>
              <w:jc w:val="both"/>
              <w:rPr>
                <w:b/>
                <w:smallCaps/>
                <w:lang w:val="en-US"/>
              </w:rPr>
            </w:pPr>
          </w:p>
        </w:tc>
      </w:tr>
      <w:tr w:rsidR="003D4A4C" w:rsidRPr="007B64AC" w:rsidTr="007225EE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D4A4C" w:rsidRPr="000122CE" w:rsidRDefault="003D4A4C" w:rsidP="007225EE">
            <w:pPr>
              <w:jc w:val="both"/>
              <w:rPr>
                <w:b/>
                <w:smallCaps/>
              </w:rPr>
            </w:pPr>
            <w:r w:rsidRPr="007B64AC">
              <w:rPr>
                <w:b/>
                <w:smallCaps/>
                <w:lang w:val="en-US"/>
              </w:rPr>
              <w:lastRenderedPageBreak/>
              <w:t>I</w:t>
            </w:r>
            <w:r>
              <w:rPr>
                <w:b/>
                <w:smallCaps/>
                <w:lang w:val="en-US"/>
              </w:rPr>
              <w:t>V</w:t>
            </w:r>
            <w:r w:rsidRPr="007B64AC">
              <w:rPr>
                <w:b/>
                <w:smallCaps/>
              </w:rPr>
              <w:t>. Да се подобри състояни</w:t>
            </w:r>
            <w:r>
              <w:rPr>
                <w:b/>
                <w:smallCaps/>
              </w:rPr>
              <w:t>ето на река</w:t>
            </w:r>
            <w:r>
              <w:rPr>
                <w:b/>
                <w:smallCaps/>
                <w:lang w:val="en-US"/>
              </w:rPr>
              <w:t xml:space="preserve"> </w:t>
            </w:r>
            <w:r>
              <w:rPr>
                <w:b/>
                <w:smallCaps/>
              </w:rPr>
              <w:t>Каменица</w:t>
            </w:r>
          </w:p>
        </w:tc>
      </w:tr>
      <w:tr w:rsidR="003D4A4C" w:rsidRPr="00A03D5B" w:rsidTr="007225EE">
        <w:tc>
          <w:tcPr>
            <w:tcW w:w="2628" w:type="dxa"/>
            <w:vMerge w:val="restart"/>
            <w:tcBorders>
              <w:top w:val="single" w:sz="12" w:space="0" w:color="auto"/>
            </w:tcBorders>
            <w:vAlign w:val="center"/>
          </w:tcPr>
          <w:p w:rsidR="003D4A4C" w:rsidRPr="00CD7601" w:rsidRDefault="00662AEF" w:rsidP="007225EE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Почистване </w:t>
            </w:r>
            <w:r w:rsidR="003D4A4C" w:rsidRPr="00CD7601">
              <w:rPr>
                <w:b/>
                <w:smallCaps/>
                <w:sz w:val="20"/>
                <w:szCs w:val="20"/>
              </w:rPr>
              <w:t>на дерет</w:t>
            </w:r>
            <w:r w:rsidR="003D4A4C">
              <w:rPr>
                <w:b/>
                <w:smallCaps/>
                <w:sz w:val="20"/>
                <w:szCs w:val="20"/>
              </w:rPr>
              <w:t>а</w:t>
            </w:r>
            <w:r w:rsidR="003D4A4C" w:rsidRPr="00CD7601"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/>
                <w:smallCaps/>
                <w:sz w:val="20"/>
                <w:szCs w:val="20"/>
              </w:rPr>
              <w:t xml:space="preserve">и </w:t>
            </w:r>
            <w:r w:rsidR="003D4A4C" w:rsidRPr="00CD7601">
              <w:rPr>
                <w:b/>
                <w:smallCaps/>
                <w:sz w:val="20"/>
                <w:szCs w:val="20"/>
              </w:rPr>
              <w:t>на рек</w:t>
            </w:r>
            <w:r w:rsidR="003D4A4C">
              <w:rPr>
                <w:b/>
                <w:smallCaps/>
                <w:sz w:val="20"/>
                <w:szCs w:val="20"/>
              </w:rPr>
              <w:t>и</w:t>
            </w: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възлагане на машинно и ръчно почистване на участъците с най-ниска </w:t>
            </w:r>
            <w:proofErr w:type="spellStart"/>
            <w:r>
              <w:rPr>
                <w:sz w:val="20"/>
                <w:szCs w:val="20"/>
              </w:rPr>
              <w:t>проводимост</w:t>
            </w:r>
            <w:proofErr w:type="spellEnd"/>
            <w:r>
              <w:rPr>
                <w:sz w:val="20"/>
                <w:szCs w:val="20"/>
              </w:rPr>
              <w:t xml:space="preserve"> от дерета</w:t>
            </w:r>
          </w:p>
          <w:p w:rsidR="00662AEF" w:rsidRPr="00F14BD9" w:rsidRDefault="00662AEF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D4A4C" w:rsidRPr="00F14BD9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600" w:type="dxa"/>
            <w:vMerge w:val="restart"/>
          </w:tcPr>
          <w:p w:rsidR="003D4A4C" w:rsidRDefault="003D4A4C" w:rsidP="007225EE">
            <w:pPr>
              <w:jc w:val="both"/>
              <w:rPr>
                <w:sz w:val="20"/>
              </w:rPr>
            </w:pPr>
          </w:p>
          <w:p w:rsidR="003D4A4C" w:rsidRDefault="003D4A4C" w:rsidP="007225EE">
            <w:pPr>
              <w:jc w:val="both"/>
              <w:rPr>
                <w:sz w:val="20"/>
              </w:rPr>
            </w:pPr>
          </w:p>
          <w:p w:rsidR="009469A1" w:rsidRDefault="009469A1" w:rsidP="007225EE">
            <w:pPr>
              <w:jc w:val="both"/>
              <w:rPr>
                <w:sz w:val="20"/>
              </w:rPr>
            </w:pPr>
          </w:p>
          <w:p w:rsidR="009469A1" w:rsidRDefault="009469A1" w:rsidP="007225EE">
            <w:pPr>
              <w:jc w:val="both"/>
              <w:rPr>
                <w:sz w:val="20"/>
              </w:rPr>
            </w:pPr>
          </w:p>
          <w:p w:rsidR="009469A1" w:rsidRDefault="009469A1" w:rsidP="007225EE">
            <w:pPr>
              <w:jc w:val="both"/>
              <w:rPr>
                <w:sz w:val="20"/>
              </w:rPr>
            </w:pPr>
          </w:p>
          <w:p w:rsidR="009469A1" w:rsidRDefault="009469A1" w:rsidP="007225EE">
            <w:pPr>
              <w:jc w:val="both"/>
              <w:rPr>
                <w:sz w:val="20"/>
              </w:rPr>
            </w:pPr>
          </w:p>
          <w:p w:rsidR="009469A1" w:rsidRDefault="009469A1" w:rsidP="007225EE">
            <w:pPr>
              <w:jc w:val="both"/>
              <w:rPr>
                <w:sz w:val="20"/>
              </w:rPr>
            </w:pPr>
          </w:p>
          <w:p w:rsidR="009469A1" w:rsidRDefault="009469A1" w:rsidP="007225EE">
            <w:pPr>
              <w:jc w:val="both"/>
              <w:rPr>
                <w:sz w:val="20"/>
              </w:rPr>
            </w:pPr>
          </w:p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Собствени средства,</w:t>
            </w:r>
            <w:r>
              <w:rPr>
                <w:sz w:val="20"/>
                <w:szCs w:val="20"/>
              </w:rPr>
              <w:t xml:space="preserve"> външно финансиране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vAlign w:val="center"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Подобрен отток на водното течение, почистено дере от наноси, прорасла растителност и битови отпадъци. Подобрени показатели на водите и спазване на екологичните параметри на повърхностните водни тела съгласно Наредба Н-4.</w:t>
            </w:r>
          </w:p>
        </w:tc>
      </w:tr>
      <w:tr w:rsidR="003D4A4C" w:rsidRPr="00A03D5B" w:rsidTr="007225EE">
        <w:tc>
          <w:tcPr>
            <w:tcW w:w="2628" w:type="dxa"/>
            <w:vMerge/>
            <w:tcBorders>
              <w:top w:val="single" w:sz="12" w:space="0" w:color="auto"/>
            </w:tcBorders>
            <w:vAlign w:val="center"/>
          </w:tcPr>
          <w:p w:rsidR="003D4A4C" w:rsidRPr="00CD7601" w:rsidRDefault="003D4A4C" w:rsidP="007225EE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Стриктен конт</w:t>
            </w:r>
            <w:r w:rsidR="007F7BF8">
              <w:rPr>
                <w:sz w:val="20"/>
                <w:szCs w:val="20"/>
              </w:rPr>
              <w:t xml:space="preserve">рол на изхвърляните в дерета и </w:t>
            </w:r>
            <w:r>
              <w:rPr>
                <w:sz w:val="20"/>
                <w:szCs w:val="20"/>
              </w:rPr>
              <w:t>реките отпадъци и санкции за нарушителите</w:t>
            </w:r>
          </w:p>
          <w:p w:rsidR="00662AEF" w:rsidRDefault="00662AEF" w:rsidP="007225EE">
            <w:pPr>
              <w:jc w:val="both"/>
              <w:rPr>
                <w:sz w:val="20"/>
                <w:szCs w:val="20"/>
              </w:rPr>
            </w:pPr>
            <w:r w:rsidRPr="000E7D8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Ежегодно се правят проверки от общинска администрация Хитрино и от РИОСВ – гр. Шумен</w:t>
            </w:r>
          </w:p>
        </w:tc>
        <w:tc>
          <w:tcPr>
            <w:tcW w:w="144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3D4A4C" w:rsidRDefault="003D4A4C" w:rsidP="007225EE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</w:tcBorders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</w:tr>
      <w:tr w:rsidR="003D4A4C" w:rsidRPr="00A03D5B" w:rsidTr="007225EE">
        <w:tc>
          <w:tcPr>
            <w:tcW w:w="2628" w:type="dxa"/>
            <w:vMerge/>
            <w:tcBorders>
              <w:bottom w:val="single" w:sz="12" w:space="0" w:color="auto"/>
            </w:tcBorders>
            <w:vAlign w:val="center"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3D4A4C" w:rsidRPr="00A03D5B" w:rsidRDefault="003D4A4C" w:rsidP="007F7B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Стриктен ко</w:t>
            </w:r>
            <w:r w:rsidR="007F7BF8">
              <w:rPr>
                <w:sz w:val="20"/>
                <w:szCs w:val="20"/>
              </w:rPr>
              <w:t xml:space="preserve">нтрол на изпусканите в дерета и </w:t>
            </w:r>
            <w:r>
              <w:rPr>
                <w:sz w:val="20"/>
                <w:szCs w:val="20"/>
              </w:rPr>
              <w:t>реките води и санкции за нарушителите</w:t>
            </w:r>
          </w:p>
        </w:tc>
        <w:tc>
          <w:tcPr>
            <w:tcW w:w="1440" w:type="dxa"/>
            <w:vAlign w:val="center"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600" w:type="dxa"/>
            <w:vMerge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</w:tr>
      <w:tr w:rsidR="003D4A4C" w:rsidRPr="00A03D5B" w:rsidTr="007225EE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D4A4C" w:rsidRPr="00CD7601" w:rsidRDefault="003D4A4C" w:rsidP="007225EE">
            <w:pPr>
              <w:jc w:val="both"/>
              <w:rPr>
                <w:b/>
                <w:smallCaps/>
                <w:sz w:val="20"/>
                <w:szCs w:val="20"/>
              </w:rPr>
            </w:pPr>
            <w:r w:rsidRPr="00CD7601">
              <w:rPr>
                <w:b/>
                <w:smallCaps/>
                <w:lang w:val="en-US"/>
              </w:rPr>
              <w:t>V</w:t>
            </w:r>
            <w:r w:rsidRPr="00CD7601">
              <w:rPr>
                <w:b/>
                <w:smallCaps/>
              </w:rPr>
              <w:t>. Да се подобри ефективността на дейностите по управление на отпадъците на територията на общината</w:t>
            </w:r>
          </w:p>
        </w:tc>
      </w:tr>
      <w:tr w:rsidR="003D4A4C" w:rsidRPr="00A03D5B" w:rsidTr="007225EE">
        <w:trPr>
          <w:trHeight w:val="380"/>
        </w:trPr>
        <w:tc>
          <w:tcPr>
            <w:tcW w:w="2628" w:type="dxa"/>
            <w:vMerge w:val="restart"/>
            <w:vAlign w:val="center"/>
          </w:tcPr>
          <w:p w:rsidR="003D4A4C" w:rsidRPr="0064244A" w:rsidRDefault="003D4A4C" w:rsidP="007225EE">
            <w:pPr>
              <w:rPr>
                <w:b/>
                <w:smallCaps/>
                <w:sz w:val="20"/>
                <w:szCs w:val="20"/>
              </w:rPr>
            </w:pPr>
            <w:r w:rsidRPr="0064244A">
              <w:rPr>
                <w:b/>
                <w:smallCaps/>
                <w:sz w:val="20"/>
                <w:szCs w:val="20"/>
              </w:rPr>
              <w:t xml:space="preserve">Подобряване ефективността на дейностите по сметосъбиране (в т.ч. и разделно събиране), </w:t>
            </w:r>
            <w:proofErr w:type="spellStart"/>
            <w:r w:rsidRPr="0064244A">
              <w:rPr>
                <w:b/>
                <w:smallCaps/>
                <w:sz w:val="20"/>
                <w:szCs w:val="20"/>
              </w:rPr>
              <w:t>сметоизвозване</w:t>
            </w:r>
            <w:proofErr w:type="spellEnd"/>
            <w:r w:rsidRPr="0064244A">
              <w:rPr>
                <w:b/>
                <w:smallCaps/>
                <w:sz w:val="20"/>
                <w:szCs w:val="20"/>
              </w:rPr>
              <w:t xml:space="preserve"> и почистване територията на общината</w:t>
            </w: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Ежедневен контрол </w:t>
            </w:r>
            <w:r w:rsidR="00A621EB">
              <w:rPr>
                <w:sz w:val="20"/>
                <w:szCs w:val="20"/>
              </w:rPr>
              <w:t xml:space="preserve">по изпълнение на договорите за </w:t>
            </w:r>
            <w:r>
              <w:rPr>
                <w:sz w:val="20"/>
                <w:szCs w:val="20"/>
              </w:rPr>
              <w:t xml:space="preserve">сметосъбиране, </w:t>
            </w:r>
            <w:proofErr w:type="spellStart"/>
            <w:r>
              <w:rPr>
                <w:sz w:val="20"/>
                <w:szCs w:val="20"/>
              </w:rPr>
              <w:t>сметоизвозване</w:t>
            </w:r>
            <w:proofErr w:type="spellEnd"/>
            <w:r>
              <w:rPr>
                <w:sz w:val="20"/>
                <w:szCs w:val="20"/>
              </w:rPr>
              <w:t xml:space="preserve"> и почистване</w:t>
            </w:r>
          </w:p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3600" w:type="dxa"/>
            <w:vAlign w:val="center"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Собствени средства</w:t>
            </w:r>
          </w:p>
        </w:tc>
        <w:tc>
          <w:tcPr>
            <w:tcW w:w="3060" w:type="dxa"/>
            <w:vAlign w:val="center"/>
          </w:tcPr>
          <w:p w:rsidR="003D4A4C" w:rsidRPr="00A03D5B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По-добра ефективност на  качеството на предоставяната услуга</w:t>
            </w:r>
          </w:p>
        </w:tc>
      </w:tr>
      <w:tr w:rsidR="003D4A4C" w:rsidRPr="00A03D5B" w:rsidTr="007225EE">
        <w:trPr>
          <w:trHeight w:val="520"/>
        </w:trPr>
        <w:tc>
          <w:tcPr>
            <w:tcW w:w="2628" w:type="dxa"/>
            <w:vMerge/>
            <w:vAlign w:val="center"/>
          </w:tcPr>
          <w:p w:rsidR="003D4A4C" w:rsidRPr="0064244A" w:rsidRDefault="003D4A4C" w:rsidP="007225EE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Организиране и провеждане на кампании за почистване</w:t>
            </w:r>
          </w:p>
          <w:p w:rsidR="005B5645" w:rsidRPr="005B5645" w:rsidRDefault="005B5645" w:rsidP="005B5645">
            <w:pPr>
              <w:pStyle w:val="a3"/>
              <w:jc w:val="both"/>
              <w:rPr>
                <w:rFonts w:ascii="Times New Roman" w:hAnsi="Times New Roman"/>
                <w:b/>
                <w:highlight w:val="lightGray"/>
                <w:shd w:val="clear" w:color="auto" w:fill="C6D9F1" w:themeFill="text2" w:themeFillTint="33"/>
                <w:lang w:val="bg-BG"/>
              </w:rPr>
            </w:pPr>
            <w:r w:rsidRPr="005B5645">
              <w:rPr>
                <w:rFonts w:ascii="Times New Roman" w:hAnsi="Times New Roman"/>
                <w:b/>
                <w:highlight w:val="lightGray"/>
                <w:shd w:val="clear" w:color="auto" w:fill="C6D9F1" w:themeFill="text2" w:themeFillTint="33"/>
                <w:lang w:val="bg-BG"/>
              </w:rPr>
              <w:t>Всяка година община Хитрино организира най-различни мероприятия за населението, свързани с опазване на околната среда.</w:t>
            </w:r>
          </w:p>
          <w:p w:rsidR="005B5645" w:rsidRDefault="005B5645" w:rsidP="005B5645">
            <w:pPr>
              <w:jc w:val="both"/>
              <w:rPr>
                <w:sz w:val="20"/>
                <w:szCs w:val="20"/>
              </w:rPr>
            </w:pPr>
            <w:r w:rsidRPr="005B5645">
              <w:rPr>
                <w:b/>
                <w:sz w:val="20"/>
                <w:szCs w:val="20"/>
                <w:highlight w:val="lightGray"/>
              </w:rPr>
              <w:t xml:space="preserve">Ежегодно след края на зимния период Община Хитрино организира и провежда традиционна кампания за пролетно хигиенизиране на населените места. Кампанията включва организирани дни за почистване и хигиенизиране на териториите за обществено ползване в населените места </w:t>
            </w:r>
            <w:r w:rsidRPr="005B5645">
              <w:rPr>
                <w:b/>
                <w:sz w:val="20"/>
                <w:szCs w:val="20"/>
                <w:highlight w:val="lightGray"/>
              </w:rPr>
              <w:lastRenderedPageBreak/>
              <w:t xml:space="preserve">с участието на граждани, фирми и обществени организации, </w:t>
            </w:r>
            <w:r w:rsidRPr="005B5645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също така общината участва в кампанията „Да изчистим България заедно”</w:t>
            </w:r>
          </w:p>
        </w:tc>
        <w:tc>
          <w:tcPr>
            <w:tcW w:w="144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360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Ангажиране на обществеността и недопускане на нови замърсявания</w:t>
            </w:r>
          </w:p>
        </w:tc>
      </w:tr>
      <w:tr w:rsidR="003D4A4C" w:rsidRPr="00A03D5B" w:rsidTr="007225EE">
        <w:tc>
          <w:tcPr>
            <w:tcW w:w="2628" w:type="dxa"/>
            <w:vMerge w:val="restart"/>
            <w:vAlign w:val="center"/>
          </w:tcPr>
          <w:p w:rsidR="003D4A4C" w:rsidRPr="00F07F15" w:rsidRDefault="003D4A4C" w:rsidP="007225EE">
            <w:pPr>
              <w:rPr>
                <w:b/>
                <w:smallCaps/>
                <w:sz w:val="20"/>
                <w:szCs w:val="20"/>
              </w:rPr>
            </w:pPr>
            <w:r w:rsidRPr="00F07F15">
              <w:rPr>
                <w:b/>
                <w:smallCaps/>
                <w:sz w:val="20"/>
                <w:szCs w:val="20"/>
              </w:rPr>
              <w:lastRenderedPageBreak/>
              <w:t>Подобряване ефективността на дейностите по управление на масово разпространените отпадъци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3D4A4C" w:rsidRPr="000C627D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Н</w:t>
            </w:r>
            <w:r w:rsidRPr="000C627D">
              <w:rPr>
                <w:rFonts w:eastAsia="TimesNewRomanPSMT"/>
                <w:sz w:val="20"/>
                <w:szCs w:val="20"/>
              </w:rPr>
              <w:t>амаляване на количеството битови отпадъци за крайно третиране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3D4A4C" w:rsidRDefault="003D4A4C" w:rsidP="00722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висока </w:t>
            </w:r>
            <w:proofErr w:type="spellStart"/>
            <w:r>
              <w:rPr>
                <w:sz w:val="20"/>
                <w:szCs w:val="20"/>
              </w:rPr>
              <w:t>събираемост</w:t>
            </w:r>
            <w:proofErr w:type="spellEnd"/>
            <w:r>
              <w:rPr>
                <w:sz w:val="20"/>
                <w:szCs w:val="20"/>
              </w:rPr>
              <w:t xml:space="preserve"> на разделно събрани отпадъци</w:t>
            </w:r>
          </w:p>
        </w:tc>
      </w:tr>
      <w:tr w:rsidR="003D4A4C" w:rsidRPr="00A03D5B" w:rsidTr="007225EE">
        <w:trPr>
          <w:trHeight w:val="920"/>
        </w:trPr>
        <w:tc>
          <w:tcPr>
            <w:tcW w:w="2628" w:type="dxa"/>
            <w:vMerge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3D4A4C" w:rsidRPr="000C627D" w:rsidRDefault="003D4A4C" w:rsidP="007225EE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У</w:t>
            </w:r>
            <w:r w:rsidRPr="000C627D">
              <w:rPr>
                <w:rFonts w:eastAsia="TimesNewRomanPSMT"/>
                <w:sz w:val="20"/>
                <w:szCs w:val="20"/>
              </w:rPr>
              <w:t>величаване на количествата и видовете отпадъци</w:t>
            </w:r>
            <w:r w:rsidRPr="000C627D">
              <w:rPr>
                <w:rFonts w:eastAsia="TimesNewRomanPS-BoldMT"/>
                <w:sz w:val="20"/>
                <w:szCs w:val="20"/>
              </w:rPr>
              <w:t xml:space="preserve">, </w:t>
            </w:r>
            <w:r w:rsidRPr="000C627D">
              <w:rPr>
                <w:rFonts w:eastAsia="TimesNewRomanPSMT"/>
                <w:sz w:val="20"/>
                <w:szCs w:val="20"/>
              </w:rPr>
              <w:t>събирани с цел рециклиране и</w:t>
            </w:r>
          </w:p>
          <w:p w:rsidR="003D4A4C" w:rsidRDefault="003D4A4C" w:rsidP="007225EE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0C627D">
              <w:rPr>
                <w:rFonts w:eastAsia="TimesNewRomanPSMT"/>
                <w:sz w:val="20"/>
                <w:szCs w:val="20"/>
              </w:rPr>
              <w:t>повторна употреба</w:t>
            </w:r>
          </w:p>
          <w:p w:rsidR="00FF489B" w:rsidRPr="00D671F6" w:rsidRDefault="00051A21" w:rsidP="00D671F6">
            <w:pPr>
              <w:jc w:val="both"/>
              <w:rPr>
                <w:b/>
                <w:sz w:val="20"/>
                <w:szCs w:val="20"/>
                <w:shd w:val="clear" w:color="auto" w:fill="C6D9F1" w:themeFill="text2" w:themeFillTint="33"/>
              </w:rPr>
            </w:pPr>
            <w:r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Съгласно </w:t>
            </w:r>
            <w:r w:rsidR="00FF489B" w:rsidRPr="00051A2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сключените договори </w:t>
            </w:r>
            <w:r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между община Хитрино и </w:t>
            </w:r>
            <w:r w:rsidR="00FF489B" w:rsidRPr="00051A2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организации</w:t>
            </w:r>
            <w:r w:rsidR="000931BF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те</w:t>
            </w:r>
            <w:r w:rsidR="00FF489B" w:rsidRPr="00051A2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по оползотворяване</w:t>
            </w:r>
            <w:r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</w:t>
            </w:r>
            <w:r w:rsidR="00FF489B" w:rsidRPr="00051A2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„</w:t>
            </w:r>
            <w:proofErr w:type="spellStart"/>
            <w:r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Рекобат</w:t>
            </w:r>
            <w:proofErr w:type="spellEnd"/>
            <w:r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” </w:t>
            </w:r>
            <w:r w:rsidR="00FF489B" w:rsidRPr="00051A2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АД, „</w:t>
            </w:r>
            <w:proofErr w:type="spellStart"/>
            <w:r w:rsidR="00FF489B" w:rsidRPr="00051A2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Грийнтех</w:t>
            </w:r>
            <w:proofErr w:type="spellEnd"/>
            <w:r w:rsidR="00FF489B" w:rsidRPr="00051A2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България” АД, „</w:t>
            </w:r>
            <w:proofErr w:type="spellStart"/>
            <w:r w:rsidR="00FF489B" w:rsidRPr="00051A2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Метарекс</w:t>
            </w:r>
            <w:proofErr w:type="spellEnd"/>
            <w:r w:rsidR="00FF489B" w:rsidRPr="00051A2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” ООД се организират кампании за предаване на НУБА, ИУЕЕО, ИУГ от населението минимум два пъти годишно на дати определени от Община Хитрино и съгласувани с организациите по оползотворяване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600" w:type="dxa"/>
          </w:tcPr>
          <w:p w:rsidR="003D4A4C" w:rsidRDefault="003D4A4C" w:rsidP="00722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висока </w:t>
            </w:r>
            <w:proofErr w:type="spellStart"/>
            <w:r>
              <w:rPr>
                <w:sz w:val="20"/>
                <w:szCs w:val="20"/>
              </w:rPr>
              <w:t>събираемост</w:t>
            </w:r>
            <w:proofErr w:type="spellEnd"/>
            <w:r>
              <w:rPr>
                <w:sz w:val="20"/>
                <w:szCs w:val="20"/>
              </w:rPr>
              <w:t xml:space="preserve"> на разделно събрани отпадъци</w:t>
            </w:r>
          </w:p>
        </w:tc>
      </w:tr>
      <w:tr w:rsidR="003D4A4C" w:rsidRPr="00A03D5B" w:rsidTr="007225EE"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:rsidR="003D4A4C" w:rsidRPr="0064244A" w:rsidRDefault="003D4A4C" w:rsidP="007225EE">
            <w:pPr>
              <w:rPr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такса </w:t>
            </w:r>
            <w:r w:rsidRPr="0064244A">
              <w:rPr>
                <w:b/>
                <w:smallCaps/>
                <w:sz w:val="20"/>
                <w:szCs w:val="20"/>
              </w:rPr>
              <w:t>битови отпадъци</w:t>
            </w:r>
            <w:r>
              <w:rPr>
                <w:b/>
                <w:smallCaps/>
                <w:sz w:val="20"/>
                <w:szCs w:val="20"/>
              </w:rPr>
              <w:t xml:space="preserve"> – въвеждане на механизъм за заплащане според количеството отпадъци</w:t>
            </w: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Актуализиране на таксата за битови отпадъци</w:t>
            </w:r>
          </w:p>
          <w:p w:rsidR="002A05EC" w:rsidRPr="002A05EC" w:rsidRDefault="008B1AFE" w:rsidP="008B1A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</w:rPr>
              <w:t xml:space="preserve">Таксата за битови отпадъци не </w:t>
            </w:r>
            <w:r w:rsidR="002A05EC" w:rsidRPr="002A05EC">
              <w:rPr>
                <w:b/>
                <w:sz w:val="20"/>
                <w:szCs w:val="20"/>
                <w:highlight w:val="lightGray"/>
              </w:rPr>
              <w:t>е актуализир</w:t>
            </w:r>
            <w:r w:rsidR="00443410" w:rsidRPr="00443410">
              <w:rPr>
                <w:b/>
                <w:sz w:val="20"/>
                <w:szCs w:val="20"/>
                <w:highlight w:val="lightGray"/>
              </w:rPr>
              <w:t>ана</w:t>
            </w:r>
          </w:p>
        </w:tc>
        <w:tc>
          <w:tcPr>
            <w:tcW w:w="1440" w:type="dxa"/>
            <w:vAlign w:val="center"/>
          </w:tcPr>
          <w:p w:rsidR="003D4A4C" w:rsidRDefault="003D4A4C" w:rsidP="00722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D4A4C" w:rsidRDefault="003D4A4C" w:rsidP="00722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Осигурени средства за обезпечаване на дейностите по събиране и обезвреждане на отпадъците, депониране и поддържане на чистотата</w:t>
            </w:r>
          </w:p>
        </w:tc>
      </w:tr>
      <w:tr w:rsidR="003D4A4C" w:rsidRPr="00E61BFC" w:rsidTr="007225EE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D4A4C" w:rsidRPr="00E61BFC" w:rsidRDefault="003D4A4C" w:rsidP="007225EE">
            <w:pPr>
              <w:jc w:val="both"/>
              <w:rPr>
                <w:b/>
                <w:smallCaps/>
              </w:rPr>
            </w:pPr>
            <w:r w:rsidRPr="00E61BFC">
              <w:rPr>
                <w:b/>
                <w:smallCaps/>
                <w:lang w:val="en-US"/>
              </w:rPr>
              <w:t>V</w:t>
            </w:r>
            <w:r>
              <w:rPr>
                <w:b/>
                <w:smallCaps/>
                <w:lang w:val="en-US"/>
              </w:rPr>
              <w:t>I</w:t>
            </w:r>
            <w:r w:rsidRPr="00E61BFC">
              <w:rPr>
                <w:b/>
                <w:smallCaps/>
              </w:rPr>
              <w:t>. Да се подобри състоянието на водопроводната и канализационната система</w:t>
            </w:r>
          </w:p>
        </w:tc>
      </w:tr>
      <w:tr w:rsidR="003D4A4C" w:rsidRPr="00A03D5B" w:rsidTr="007225EE">
        <w:trPr>
          <w:trHeight w:val="1690"/>
        </w:trPr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:rsidR="003D4A4C" w:rsidRPr="0058718C" w:rsidRDefault="003D4A4C" w:rsidP="007225EE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подмяна на</w:t>
            </w:r>
            <w:r w:rsidRPr="0058718C">
              <w:rPr>
                <w:b/>
                <w:smallCaps/>
                <w:sz w:val="20"/>
                <w:szCs w:val="20"/>
              </w:rPr>
              <w:t xml:space="preserve"> водопроводи </w:t>
            </w: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 инвестиционни проекти за ремонт на водопроводи</w:t>
            </w:r>
          </w:p>
          <w:p w:rsidR="00B904CA" w:rsidRDefault="00B904CA" w:rsidP="00B904CA">
            <w:pPr>
              <w:jc w:val="both"/>
              <w:rPr>
                <w:b/>
                <w:iCs/>
                <w:sz w:val="20"/>
                <w:shd w:val="clear" w:color="auto" w:fill="C6D9F1" w:themeFill="text2" w:themeFillTint="33"/>
              </w:rPr>
            </w:pPr>
            <w:r w:rsidRPr="00B904CA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През 2019г.  </w:t>
            </w:r>
            <w:r w:rsidRPr="009268EE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продължава </w:t>
            </w:r>
            <w:r w:rsidRPr="00B904CA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реализацията на следните инвестиционни проекти:</w:t>
            </w:r>
          </w:p>
          <w:p w:rsidR="00D80426" w:rsidRPr="00D80426" w:rsidRDefault="00D80426" w:rsidP="00D80426">
            <w:pPr>
              <w:jc w:val="both"/>
              <w:rPr>
                <w:b/>
                <w:snapToGrid w:val="0"/>
                <w:sz w:val="20"/>
                <w:szCs w:val="20"/>
                <w:highlight w:val="lightGray"/>
              </w:rPr>
            </w:pPr>
            <w:proofErr w:type="gramStart"/>
            <w:r w:rsidRPr="00D80426">
              <w:rPr>
                <w:b/>
                <w:snapToGrid w:val="0"/>
                <w:sz w:val="20"/>
                <w:szCs w:val="20"/>
                <w:highlight w:val="lightGray"/>
                <w:lang w:val="ru-RU"/>
              </w:rPr>
              <w:t>-</w:t>
            </w:r>
            <w:r w:rsidR="00CF0B76">
              <w:rPr>
                <w:b/>
                <w:snapToGrid w:val="0"/>
                <w:sz w:val="20"/>
                <w:szCs w:val="20"/>
                <w:highlight w:val="lightGray"/>
                <w:lang w:val="ru-RU"/>
              </w:rPr>
              <w:t xml:space="preserve"> </w:t>
            </w:r>
            <w:r w:rsidRPr="00D80426">
              <w:rPr>
                <w:b/>
                <w:snapToGrid w:val="0"/>
                <w:sz w:val="20"/>
                <w:szCs w:val="20"/>
                <w:highlight w:val="lightGray"/>
              </w:rPr>
              <w:t>„Реконструкция на водопроводната мрежа на с. Хитрино, Община Хитрино в рамките на проект:</w:t>
            </w:r>
            <w:proofErr w:type="gramEnd"/>
            <w:r w:rsidRPr="00D80426">
              <w:rPr>
                <w:b/>
                <w:snapToGrid w:val="0"/>
                <w:sz w:val="20"/>
                <w:szCs w:val="20"/>
                <w:highlight w:val="lightGray"/>
              </w:rPr>
              <w:t xml:space="preserve"> „Повишаване качеството на живот и създаването на оптимална жизнена среда, чрез реконструкция на водопроводна мрежа на с. Хитрино, Община Хитрино“, осъществяван по ПРСР 2014-2020 г.“;</w:t>
            </w:r>
          </w:p>
          <w:p w:rsidR="00883E2F" w:rsidRDefault="00D80426" w:rsidP="00D80426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D80426">
              <w:rPr>
                <w:b/>
                <w:snapToGrid w:val="0"/>
                <w:sz w:val="20"/>
                <w:szCs w:val="20"/>
                <w:highlight w:val="lightGray"/>
              </w:rPr>
              <w:t>-</w:t>
            </w:r>
            <w:r w:rsidR="00CF0B76">
              <w:rPr>
                <w:b/>
                <w:snapToGrid w:val="0"/>
                <w:sz w:val="20"/>
                <w:szCs w:val="20"/>
                <w:highlight w:val="lightGray"/>
                <w:lang w:val="ru-RU"/>
              </w:rPr>
              <w:t xml:space="preserve"> </w:t>
            </w:r>
            <w:r w:rsidRPr="00D80426">
              <w:rPr>
                <w:b/>
                <w:snapToGrid w:val="0"/>
                <w:sz w:val="20"/>
                <w:szCs w:val="20"/>
                <w:highlight w:val="lightGray"/>
              </w:rPr>
              <w:t xml:space="preserve">„Реконструкция на част от водоснабдителната система на с. Хитрино, община Хитрино в рамките на проект: „Постигане на социално </w:t>
            </w:r>
            <w:r w:rsidRPr="00D80426">
              <w:rPr>
                <w:b/>
                <w:snapToGrid w:val="0"/>
                <w:sz w:val="20"/>
                <w:szCs w:val="20"/>
                <w:highlight w:val="lightGray"/>
              </w:rPr>
              <w:lastRenderedPageBreak/>
              <w:t>равенство, обществено здраве и осигуряване на качествена жизнена среда, чрез реконструкция на част от водоснабдителната система на с. Хитрино“, осъществяван по ПРСР 2014-2020 г.“</w:t>
            </w:r>
          </w:p>
          <w:p w:rsidR="00B904CA" w:rsidRDefault="00B904CA" w:rsidP="00D80426">
            <w:pPr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Със собствени средства са реализирани проектите:</w:t>
            </w:r>
          </w:p>
          <w:p w:rsidR="00B904CA" w:rsidRPr="00B904CA" w:rsidRDefault="00B904CA" w:rsidP="00B904CA">
            <w:pPr>
              <w:shd w:val="clear" w:color="auto" w:fill="BFBFBF" w:themeFill="background1" w:themeFillShade="BF"/>
              <w:jc w:val="both"/>
              <w:rPr>
                <w:b/>
                <w:sz w:val="20"/>
                <w:szCs w:val="20"/>
              </w:rPr>
            </w:pPr>
            <w:r w:rsidRPr="00B904CA">
              <w:rPr>
                <w:b/>
                <w:sz w:val="20"/>
                <w:szCs w:val="20"/>
              </w:rPr>
              <w:t>"Реконструкция на вътрешен водопровод с.Каменяк, Община Хитрино" - първи етап</w:t>
            </w:r>
          </w:p>
          <w:p w:rsidR="00B904CA" w:rsidRPr="00B904CA" w:rsidRDefault="00B904CA" w:rsidP="00B904CA">
            <w:pPr>
              <w:shd w:val="clear" w:color="auto" w:fill="BFBFBF" w:themeFill="background1" w:themeFillShade="BF"/>
              <w:jc w:val="both"/>
              <w:rPr>
                <w:b/>
                <w:sz w:val="20"/>
                <w:szCs w:val="20"/>
              </w:rPr>
            </w:pPr>
            <w:r w:rsidRPr="00B904CA">
              <w:rPr>
                <w:b/>
                <w:sz w:val="20"/>
                <w:szCs w:val="20"/>
              </w:rPr>
              <w:t>"Реконструкция на вътрешен водопровод с.Студеница, Община Хитрино" – Първи етап /клон №12/</w:t>
            </w:r>
          </w:p>
          <w:p w:rsidR="00B904CA" w:rsidRPr="00D80426" w:rsidRDefault="00B904CA" w:rsidP="00D80426">
            <w:pPr>
              <w:jc w:val="both"/>
              <w:rPr>
                <w:b/>
                <w:snapToGrid w:val="0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3D4A4C" w:rsidRDefault="003D4A4C" w:rsidP="00722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2016-2020 г.</w:t>
            </w:r>
          </w:p>
        </w:tc>
        <w:tc>
          <w:tcPr>
            <w:tcW w:w="3600" w:type="dxa"/>
            <w:vAlign w:val="center"/>
          </w:tcPr>
          <w:p w:rsidR="003D4A4C" w:rsidRPr="00F04DEC" w:rsidRDefault="003D4A4C" w:rsidP="007225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Реконструирани В и К мрежа. Намаляване на загубите при доставката на питейна вода. Повишаване ефективността на отвеждане на отпадъчните води до ПСОВ</w:t>
            </w:r>
          </w:p>
        </w:tc>
      </w:tr>
      <w:tr w:rsidR="003D4A4C" w:rsidRPr="00A03D5B" w:rsidTr="007225EE">
        <w:trPr>
          <w:trHeight w:val="1247"/>
        </w:trPr>
        <w:tc>
          <w:tcPr>
            <w:tcW w:w="2628" w:type="dxa"/>
            <w:vAlign w:val="center"/>
          </w:tcPr>
          <w:p w:rsidR="003D4A4C" w:rsidRPr="008A5911" w:rsidRDefault="003D4A4C" w:rsidP="007225EE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lastRenderedPageBreak/>
              <w:t xml:space="preserve">Подобряване на състоянието на уличната мрежа </w:t>
            </w:r>
          </w:p>
        </w:tc>
        <w:tc>
          <w:tcPr>
            <w:tcW w:w="39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на инвестиционни проекти за реконструкция и основен ремонт на улици </w:t>
            </w:r>
          </w:p>
          <w:p w:rsidR="00B904CA" w:rsidRDefault="00B904CA" w:rsidP="00B904CA">
            <w:pPr>
              <w:jc w:val="both"/>
              <w:rPr>
                <w:b/>
                <w:iCs/>
                <w:sz w:val="20"/>
                <w:shd w:val="clear" w:color="auto" w:fill="C6D9F1" w:themeFill="text2" w:themeFillTint="33"/>
              </w:rPr>
            </w:pPr>
            <w:r w:rsidRPr="00B904CA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През 2019г.  </w:t>
            </w:r>
            <w:r w:rsidRPr="009268EE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продължава </w:t>
            </w:r>
            <w:r w:rsidRPr="00B904CA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реализацията на следните инвестиционни проекти:</w:t>
            </w:r>
          </w:p>
          <w:p w:rsidR="00250745" w:rsidRDefault="00250745" w:rsidP="00250745">
            <w:pPr>
              <w:jc w:val="both"/>
              <w:rPr>
                <w:b/>
                <w:sz w:val="20"/>
                <w:szCs w:val="20"/>
                <w:highlight w:val="lightGray"/>
              </w:rPr>
            </w:pPr>
            <w:r w:rsidRPr="008870E7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-</w:t>
            </w:r>
            <w:r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r w:rsidRPr="008870E7">
              <w:rPr>
                <w:b/>
                <w:sz w:val="20"/>
                <w:szCs w:val="20"/>
                <w:highlight w:val="lightGray"/>
              </w:rPr>
              <w:t>„Реконструкция и рехабилитация на уличната мрежа в с. Хитрино, област Шумен, в рамките на проект: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Хитрино“, с ИД № 27/07/2/0/00932“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2: улица „от ОК 1 – до ОК 10“;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 xml:space="preserve">Подобект 3: улица „от ул. с ОК 1 – ОК 10 до ул. „Стара планина“; 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4: улица „Стара планина“;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5: улица „Камчия“;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6: улица „от ОК 6 до ОК 14“;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7: улица „Рила“;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8: улица „Пирин“;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9: улица „Шейново“;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10: улица „Ивайло“;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11: улица „Свобода“;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12: улица „Добри Войников“;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13: улица „Иван Вазов“;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 xml:space="preserve">Подобект 31: улица „Панайот </w:t>
            </w:r>
            <w:proofErr w:type="spellStart"/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Волов</w:t>
            </w:r>
            <w:proofErr w:type="spellEnd"/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“;</w:t>
            </w:r>
          </w:p>
          <w:p w:rsidR="001B6EDD" w:rsidRPr="00684404" w:rsidRDefault="001B6EDD" w:rsidP="001B6EDD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lastRenderedPageBreak/>
              <w:t xml:space="preserve">Подобект 32: улица „от OK 5 до OK 15“; </w:t>
            </w:r>
          </w:p>
          <w:p w:rsidR="001B6EDD" w:rsidRPr="00684404" w:rsidRDefault="001B6EDD" w:rsidP="001B6EDD">
            <w:p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684404">
              <w:rPr>
                <w:rFonts w:eastAsia="Calibri"/>
                <w:b/>
                <w:sz w:val="20"/>
                <w:szCs w:val="20"/>
                <w:highlight w:val="lightGray"/>
              </w:rPr>
              <w:t>Подобект 33: улица „от OK 1 – до OK 5“</w:t>
            </w:r>
            <w:r w:rsidRPr="00684404">
              <w:rPr>
                <w:rFonts w:eastAsia="Calibri"/>
                <w:b/>
                <w:sz w:val="20"/>
                <w:szCs w:val="20"/>
                <w:highlight w:val="lightGray"/>
                <w:lang w:val="ru-RU"/>
              </w:rPr>
              <w:t>;</w:t>
            </w:r>
          </w:p>
          <w:p w:rsidR="00947841" w:rsidRDefault="00250745" w:rsidP="00250745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8870E7">
              <w:rPr>
                <w:sz w:val="20"/>
                <w:szCs w:val="20"/>
                <w:highlight w:val="lightGray"/>
              </w:rPr>
              <w:t>-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8870E7">
              <w:rPr>
                <w:b/>
                <w:bCs/>
                <w:sz w:val="20"/>
                <w:szCs w:val="20"/>
                <w:highlight w:val="lightGray"/>
              </w:rPr>
              <w:t>„Реконструкция и рехабилитация на уличната мрежа в с. Хитрино, област Шумен, в рамките на проект: „Устойчив жизнен стандарт и нараснала привлекателност за населението, чрез реконструкция и рехабилитация на уличната мрежа на с. Хитрино, община Хитрино“, с ИД № 27/07/2/0/00933“</w:t>
            </w:r>
          </w:p>
          <w:p w:rsidR="00947841" w:rsidRPr="00947841" w:rsidRDefault="00947841" w:rsidP="00947841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947841">
              <w:rPr>
                <w:rFonts w:eastAsia="Calibri"/>
                <w:b/>
                <w:sz w:val="20"/>
                <w:szCs w:val="20"/>
                <w:highlight w:val="lightGray"/>
              </w:rPr>
              <w:t>Подобект 14: улица „ОК 51 - ОК 137“;</w:t>
            </w:r>
          </w:p>
          <w:p w:rsidR="00947841" w:rsidRPr="00947841" w:rsidRDefault="00947841" w:rsidP="00947841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947841">
              <w:rPr>
                <w:rFonts w:eastAsia="Calibri"/>
                <w:b/>
                <w:sz w:val="20"/>
                <w:szCs w:val="20"/>
                <w:highlight w:val="lightGray"/>
              </w:rPr>
              <w:t>Подобект 15: улица „От ОК 137 до ОК 138“;</w:t>
            </w:r>
          </w:p>
          <w:p w:rsidR="00947841" w:rsidRPr="00947841" w:rsidRDefault="00947841" w:rsidP="00947841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947841">
              <w:rPr>
                <w:rFonts w:eastAsia="Calibri"/>
                <w:b/>
                <w:sz w:val="20"/>
                <w:szCs w:val="20"/>
                <w:highlight w:val="lightGray"/>
              </w:rPr>
              <w:t>Подобект 22: улица „Бузлуджа“;</w:t>
            </w:r>
          </w:p>
          <w:p w:rsidR="00947841" w:rsidRPr="00947841" w:rsidRDefault="00947841" w:rsidP="00947841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947841">
              <w:rPr>
                <w:rFonts w:eastAsia="Calibri"/>
                <w:b/>
                <w:sz w:val="20"/>
                <w:szCs w:val="20"/>
                <w:highlight w:val="lightGray"/>
              </w:rPr>
              <w:t>Подобект 25: улица „София“;</w:t>
            </w:r>
          </w:p>
          <w:p w:rsidR="00947841" w:rsidRPr="00947841" w:rsidRDefault="00947841" w:rsidP="00947841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947841">
              <w:rPr>
                <w:rFonts w:eastAsia="Calibri"/>
                <w:b/>
                <w:sz w:val="20"/>
                <w:szCs w:val="20"/>
                <w:highlight w:val="lightGray"/>
              </w:rPr>
              <w:t>Подобект 27: улица „Индже“;</w:t>
            </w:r>
          </w:p>
          <w:p w:rsidR="00947841" w:rsidRPr="00947841" w:rsidRDefault="00947841" w:rsidP="00947841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947841">
              <w:rPr>
                <w:rFonts w:eastAsia="Calibri"/>
                <w:b/>
                <w:sz w:val="20"/>
                <w:szCs w:val="20"/>
                <w:highlight w:val="lightGray"/>
              </w:rPr>
              <w:t>Подобект 28: улица „Мир“;</w:t>
            </w:r>
          </w:p>
          <w:p w:rsidR="00947841" w:rsidRPr="00947841" w:rsidRDefault="00947841" w:rsidP="00947841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947841">
              <w:rPr>
                <w:rFonts w:eastAsia="Calibri"/>
                <w:b/>
                <w:sz w:val="20"/>
                <w:szCs w:val="20"/>
                <w:highlight w:val="lightGray"/>
              </w:rPr>
              <w:t>Подобект 29: улица „Ален мак“;</w:t>
            </w:r>
          </w:p>
          <w:p w:rsidR="00250745" w:rsidRPr="00947841" w:rsidRDefault="00947841" w:rsidP="00947841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47841">
              <w:rPr>
                <w:rFonts w:eastAsia="Calibri"/>
                <w:b/>
                <w:sz w:val="20"/>
                <w:szCs w:val="20"/>
                <w:highlight w:val="lightGray"/>
              </w:rPr>
              <w:t>Подобект 30: улица „Дружба“</w:t>
            </w:r>
            <w:r w:rsidR="00250745" w:rsidRPr="00947841">
              <w:rPr>
                <w:b/>
                <w:bCs/>
                <w:sz w:val="20"/>
                <w:szCs w:val="20"/>
                <w:highlight w:val="lightGray"/>
              </w:rPr>
              <w:t>;</w:t>
            </w:r>
          </w:p>
          <w:p w:rsidR="00250745" w:rsidRDefault="00250745" w:rsidP="00250745">
            <w:pPr>
              <w:rPr>
                <w:b/>
                <w:sz w:val="20"/>
                <w:szCs w:val="20"/>
                <w:highlight w:val="lightGray"/>
              </w:rPr>
            </w:pPr>
            <w:r w:rsidRPr="008870E7">
              <w:rPr>
                <w:sz w:val="20"/>
                <w:szCs w:val="20"/>
                <w:highlight w:val="lightGray"/>
              </w:rPr>
              <w:t>-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8870E7">
              <w:rPr>
                <w:b/>
                <w:sz w:val="20"/>
                <w:szCs w:val="20"/>
                <w:highlight w:val="lightGray"/>
              </w:rPr>
              <w:t>„Реконструкция и рехабилитация на уличната мрежа в с. Хитрино, област Шумен, в рамките на проект: „Обновление на с. Хитрино, община Хитрино, чрез реконструкция и рехабилитация на уличната мрежа“, с ИД № 27/07/2/0/00934“</w:t>
            </w:r>
          </w:p>
          <w:p w:rsidR="00D104A3" w:rsidRPr="00D104A3" w:rsidRDefault="00D104A3" w:rsidP="00D104A3">
            <w:pPr>
              <w:tabs>
                <w:tab w:val="left" w:pos="567"/>
              </w:tabs>
              <w:ind w:right="138"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D104A3">
              <w:rPr>
                <w:rFonts w:eastAsia="Calibri"/>
                <w:b/>
                <w:sz w:val="20"/>
                <w:szCs w:val="20"/>
                <w:highlight w:val="lightGray"/>
              </w:rPr>
              <w:t>Подобект 1: улица „Възраждане“;</w:t>
            </w:r>
          </w:p>
          <w:p w:rsidR="00D104A3" w:rsidRPr="00D104A3" w:rsidRDefault="00D104A3" w:rsidP="00D104A3">
            <w:pPr>
              <w:tabs>
                <w:tab w:val="left" w:pos="567"/>
              </w:tabs>
              <w:ind w:right="138"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D104A3">
              <w:rPr>
                <w:rFonts w:eastAsia="Calibri"/>
                <w:b/>
                <w:sz w:val="20"/>
                <w:szCs w:val="20"/>
                <w:highlight w:val="lightGray"/>
              </w:rPr>
              <w:t>Подобект 16: улица „Симеон Велики“;</w:t>
            </w:r>
          </w:p>
          <w:p w:rsidR="00D104A3" w:rsidRPr="00D104A3" w:rsidRDefault="008249FE" w:rsidP="00D104A3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highlight w:val="lightGray"/>
              </w:rPr>
              <w:t xml:space="preserve">Подобект </w:t>
            </w:r>
            <w:r w:rsidR="00D104A3" w:rsidRPr="00D104A3">
              <w:rPr>
                <w:rFonts w:eastAsia="Calibri"/>
                <w:b/>
                <w:sz w:val="20"/>
                <w:szCs w:val="20"/>
                <w:highlight w:val="lightGray"/>
              </w:rPr>
              <w:t>34: т</w:t>
            </w:r>
            <w:r w:rsidR="00D104A3" w:rsidRPr="00D104A3">
              <w:rPr>
                <w:b/>
                <w:sz w:val="20"/>
                <w:szCs w:val="20"/>
                <w:highlight w:val="lightGray"/>
              </w:rPr>
              <w:t>ротоари  по ул. „Еделвайс“, в участъка от ул. „Шипка“ до ул. „Цар Калоян“</w:t>
            </w:r>
            <w:r w:rsidR="00D104A3" w:rsidRPr="00D104A3">
              <w:rPr>
                <w:b/>
                <w:sz w:val="20"/>
                <w:szCs w:val="20"/>
                <w:highlight w:val="lightGray"/>
                <w:lang w:val="ru-RU"/>
              </w:rPr>
              <w:t>;</w:t>
            </w:r>
          </w:p>
          <w:p w:rsidR="00250745" w:rsidRDefault="00250745" w:rsidP="00250745">
            <w:pPr>
              <w:jc w:val="both"/>
              <w:rPr>
                <w:b/>
                <w:bCs/>
                <w:sz w:val="20"/>
                <w:szCs w:val="20"/>
              </w:rPr>
            </w:pPr>
            <w:r w:rsidRPr="008870E7">
              <w:rPr>
                <w:sz w:val="20"/>
                <w:szCs w:val="20"/>
                <w:highlight w:val="lightGray"/>
              </w:rPr>
              <w:t>-</w:t>
            </w:r>
            <w:r>
              <w:rPr>
                <w:sz w:val="20"/>
                <w:szCs w:val="20"/>
                <w:highlight w:val="lightGray"/>
              </w:rPr>
              <w:t xml:space="preserve"> </w:t>
            </w:r>
            <w:r w:rsidRPr="008870E7">
              <w:rPr>
                <w:b/>
                <w:bCs/>
                <w:sz w:val="20"/>
                <w:szCs w:val="20"/>
                <w:highlight w:val="lightGray"/>
              </w:rPr>
              <w:t>„Реконструкция и рехабилитация на уличната мрежа в с. Хитрино, област Шумен, в рамките на проект: „Създаване на подобрена среда за живот на населението, чрез реконструкция и рехабилитация на уличната мрежа на с. Хитрино, община Хитрино“, с ИД № 27/07/2/0/00935“</w:t>
            </w:r>
          </w:p>
          <w:p w:rsidR="008249FE" w:rsidRPr="00BE3445" w:rsidRDefault="008249FE" w:rsidP="00BE3445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BE3445">
              <w:rPr>
                <w:rFonts w:eastAsia="Calibri"/>
                <w:b/>
                <w:sz w:val="20"/>
                <w:szCs w:val="20"/>
                <w:highlight w:val="lightGray"/>
              </w:rPr>
              <w:t>Подобект 17: улица „ОК 75 – ОК 76“</w:t>
            </w:r>
            <w:r w:rsidRPr="00BE3445">
              <w:rPr>
                <w:rFonts w:eastAsia="Calibri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8249FE" w:rsidRPr="00BE3445" w:rsidRDefault="008249FE" w:rsidP="00BE3445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BE3445">
              <w:rPr>
                <w:rFonts w:eastAsia="Calibri"/>
                <w:b/>
                <w:sz w:val="20"/>
                <w:szCs w:val="20"/>
                <w:highlight w:val="lightGray"/>
              </w:rPr>
              <w:t>Подобект 18: улица „Цар Калоян“</w:t>
            </w:r>
            <w:r w:rsidRPr="00BE3445">
              <w:rPr>
                <w:rFonts w:eastAsia="Calibri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8249FE" w:rsidRPr="00BE3445" w:rsidRDefault="008249FE" w:rsidP="00BE3445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BE3445">
              <w:rPr>
                <w:rFonts w:eastAsia="Calibri"/>
                <w:b/>
                <w:sz w:val="20"/>
                <w:szCs w:val="20"/>
                <w:highlight w:val="lightGray"/>
              </w:rPr>
              <w:lastRenderedPageBreak/>
              <w:t>Подобект 19: улица „Никола Вапцаров“</w:t>
            </w:r>
            <w:r w:rsidRPr="00BE3445">
              <w:rPr>
                <w:rFonts w:eastAsia="Calibri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8249FE" w:rsidRPr="00BE3445" w:rsidRDefault="008249FE" w:rsidP="00BE3445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BE3445">
              <w:rPr>
                <w:rFonts w:eastAsia="Calibri"/>
                <w:b/>
                <w:sz w:val="20"/>
                <w:szCs w:val="20"/>
                <w:highlight w:val="lightGray"/>
              </w:rPr>
              <w:t>Подобект 20: улица „Хан Аспарух“</w:t>
            </w:r>
            <w:r w:rsidRPr="00BE3445">
              <w:rPr>
                <w:rFonts w:eastAsia="Calibri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8249FE" w:rsidRPr="00BE3445" w:rsidRDefault="008249FE" w:rsidP="00BE3445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BE3445">
              <w:rPr>
                <w:rFonts w:eastAsia="Calibri"/>
                <w:b/>
                <w:sz w:val="20"/>
                <w:szCs w:val="20"/>
                <w:highlight w:val="lightGray"/>
              </w:rPr>
              <w:t>Подобект 21: улица „Хаджи Димитър“</w:t>
            </w:r>
            <w:r w:rsidRPr="00BE3445">
              <w:rPr>
                <w:rFonts w:eastAsia="Calibri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8249FE" w:rsidRPr="00BE3445" w:rsidRDefault="008249FE" w:rsidP="00BE3445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BE3445">
              <w:rPr>
                <w:rFonts w:eastAsia="Calibri"/>
                <w:b/>
                <w:sz w:val="20"/>
                <w:szCs w:val="20"/>
                <w:highlight w:val="lightGray"/>
              </w:rPr>
              <w:t>Подобект 23: улица „Шипка“</w:t>
            </w:r>
            <w:r w:rsidRPr="00BE3445">
              <w:rPr>
                <w:rFonts w:eastAsia="Calibri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8249FE" w:rsidRPr="00BE3445" w:rsidRDefault="008249FE" w:rsidP="00BE3445">
            <w:pPr>
              <w:tabs>
                <w:tab w:val="left" w:pos="567"/>
              </w:tabs>
              <w:ind w:right="138"/>
              <w:contextualSpacing/>
              <w:jc w:val="both"/>
              <w:rPr>
                <w:rFonts w:eastAsia="Calibri"/>
                <w:b/>
                <w:sz w:val="20"/>
                <w:szCs w:val="20"/>
                <w:highlight w:val="lightGray"/>
              </w:rPr>
            </w:pPr>
            <w:r w:rsidRPr="00BE3445">
              <w:rPr>
                <w:rFonts w:eastAsia="Calibri"/>
                <w:b/>
                <w:sz w:val="20"/>
                <w:szCs w:val="20"/>
                <w:highlight w:val="lightGray"/>
              </w:rPr>
              <w:t>Подобект 24: улица „ОК 126 – ОК 139“</w:t>
            </w:r>
            <w:r w:rsidRPr="00BE3445">
              <w:rPr>
                <w:rFonts w:eastAsia="Calibri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8249FE" w:rsidRDefault="008249FE" w:rsidP="00BE344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BE3445">
              <w:rPr>
                <w:rFonts w:eastAsia="Calibri"/>
                <w:b/>
                <w:sz w:val="20"/>
                <w:szCs w:val="20"/>
                <w:highlight w:val="lightGray"/>
              </w:rPr>
              <w:t>Подобект 26: улица „Христо Ботев“</w:t>
            </w:r>
          </w:p>
          <w:p w:rsidR="00B904CA" w:rsidRDefault="00B904CA" w:rsidP="00BE344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Със собствени средства е реализиран проект:</w:t>
            </w:r>
          </w:p>
          <w:p w:rsidR="00B904CA" w:rsidRPr="00B904CA" w:rsidRDefault="00B904CA" w:rsidP="00B904CA">
            <w:pPr>
              <w:shd w:val="clear" w:color="auto" w:fill="BFBFBF" w:themeFill="background1" w:themeFillShade="BF"/>
              <w:jc w:val="both"/>
              <w:rPr>
                <w:sz w:val="20"/>
                <w:szCs w:val="20"/>
              </w:rPr>
            </w:pPr>
            <w:r w:rsidRPr="00B904CA">
              <w:rPr>
                <w:sz w:val="20"/>
                <w:szCs w:val="20"/>
              </w:rPr>
              <w:t>"Подобряване на уличните настилки на населените места в община Хитрино, ул. "Мир", с. Каменяк от км 0+000 до км 1+162, община Хитрино"</w:t>
            </w:r>
          </w:p>
          <w:p w:rsidR="00B904CA" w:rsidRPr="008249FE" w:rsidRDefault="00B904CA" w:rsidP="00BE344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3D4A4C" w:rsidRDefault="00FB6A33" w:rsidP="00722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2016-2020</w:t>
            </w:r>
            <w:r w:rsidR="003D4A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60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ПРСР 2014-2020, Собствени средства</w:t>
            </w:r>
          </w:p>
        </w:tc>
        <w:tc>
          <w:tcPr>
            <w:tcW w:w="3060" w:type="dxa"/>
            <w:vAlign w:val="center"/>
          </w:tcPr>
          <w:p w:rsidR="003D4A4C" w:rsidRDefault="003D4A4C" w:rsidP="00722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Подобрена улична мрежа </w:t>
            </w:r>
          </w:p>
        </w:tc>
      </w:tr>
    </w:tbl>
    <w:p w:rsidR="008F5A88" w:rsidRPr="00B80B41" w:rsidRDefault="008F5A88" w:rsidP="008F5A88">
      <w:bookmarkStart w:id="0" w:name="_GoBack"/>
    </w:p>
    <w:bookmarkEnd w:id="0"/>
    <w:p w:rsidR="008F5A88" w:rsidRDefault="008F5A88" w:rsidP="008F5A88">
      <w:pPr>
        <w:ind w:left="8496" w:firstLine="708"/>
        <w:jc w:val="center"/>
      </w:pPr>
      <w:r>
        <w:t>Изготвил:</w:t>
      </w:r>
    </w:p>
    <w:p w:rsidR="008F5A88" w:rsidRPr="001863C9" w:rsidRDefault="00B904CA" w:rsidP="00B904CA">
      <w:pPr>
        <w:ind w:left="10620"/>
        <w:jc w:val="center"/>
      </w:pPr>
      <w:r>
        <w:t xml:space="preserve">        Г. Ахмед – мл. експерт“ПЕ“</w:t>
      </w:r>
    </w:p>
    <w:p w:rsidR="003D4A4C" w:rsidRDefault="009447EF" w:rsidP="008F5A88">
      <w:pPr>
        <w:tabs>
          <w:tab w:val="left" w:pos="9870"/>
        </w:tabs>
      </w:pPr>
      <w:r>
        <w:t>Настоящият Годишен отчет за 2019 година по изпълнение на Плана за действие към Програма за опазване на околната среда на община Хитрино за периода 2016-2020 година е приет с Решение № 41</w:t>
      </w:r>
      <w:r w:rsidR="00174106">
        <w:t xml:space="preserve"> от 08.05.2020 година, Протокол № 3, точка 6.2. – </w:t>
      </w:r>
      <w:proofErr w:type="spellStart"/>
      <w:r w:rsidR="00174106">
        <w:t>ОбС</w:t>
      </w:r>
      <w:proofErr w:type="spellEnd"/>
      <w:r w:rsidR="00174106">
        <w:t xml:space="preserve"> Хитрино.</w:t>
      </w:r>
    </w:p>
    <w:p w:rsidR="00174106" w:rsidRDefault="00174106" w:rsidP="008F5A88">
      <w:pPr>
        <w:tabs>
          <w:tab w:val="left" w:pos="9870"/>
        </w:tabs>
      </w:pPr>
    </w:p>
    <w:p w:rsidR="00174106" w:rsidRDefault="00174106" w:rsidP="008F5A88">
      <w:pPr>
        <w:tabs>
          <w:tab w:val="left" w:pos="9870"/>
        </w:tabs>
      </w:pPr>
    </w:p>
    <w:p w:rsidR="00174106" w:rsidRPr="00174106" w:rsidRDefault="00174106" w:rsidP="00174106">
      <w:pPr>
        <w:tabs>
          <w:tab w:val="left" w:pos="9870"/>
        </w:tabs>
        <w:ind w:left="9912"/>
        <w:rPr>
          <w:rFonts w:asciiTheme="minorHAnsi" w:hAnsiTheme="minorHAnsi"/>
          <w:b/>
        </w:rPr>
      </w:pPr>
      <w:r w:rsidRPr="00174106">
        <w:rPr>
          <w:rFonts w:asciiTheme="minorHAnsi" w:hAnsiTheme="minorHAnsi"/>
          <w:b/>
        </w:rPr>
        <w:t>МУСТАФА АХМЕД: / П /</w:t>
      </w:r>
    </w:p>
    <w:p w:rsidR="00174106" w:rsidRPr="00174106" w:rsidRDefault="00174106" w:rsidP="00174106">
      <w:pPr>
        <w:tabs>
          <w:tab w:val="left" w:pos="9870"/>
        </w:tabs>
        <w:ind w:left="9912"/>
        <w:rPr>
          <w:rFonts w:asciiTheme="minorHAnsi" w:hAnsiTheme="minorHAnsi"/>
        </w:rPr>
      </w:pPr>
      <w:r w:rsidRPr="00174106">
        <w:rPr>
          <w:rFonts w:asciiTheme="minorHAnsi" w:hAnsiTheme="minorHAnsi"/>
        </w:rPr>
        <w:t xml:space="preserve">ПРЕДСЕДАТЕЛ НА </w:t>
      </w:r>
      <w:proofErr w:type="spellStart"/>
      <w:r w:rsidRPr="00174106">
        <w:rPr>
          <w:rFonts w:asciiTheme="minorHAnsi" w:hAnsiTheme="minorHAnsi"/>
        </w:rPr>
        <w:t>ОбС</w:t>
      </w:r>
      <w:proofErr w:type="spellEnd"/>
      <w:r w:rsidRPr="00174106">
        <w:rPr>
          <w:rFonts w:asciiTheme="minorHAnsi" w:hAnsiTheme="minorHAnsi"/>
        </w:rPr>
        <w:t xml:space="preserve"> ХИТРИНО</w:t>
      </w:r>
    </w:p>
    <w:p w:rsidR="00174106" w:rsidRPr="00174106" w:rsidRDefault="00174106" w:rsidP="00174106">
      <w:pPr>
        <w:tabs>
          <w:tab w:val="left" w:pos="9870"/>
        </w:tabs>
        <w:ind w:left="9912"/>
        <w:rPr>
          <w:rFonts w:asciiTheme="minorHAnsi" w:hAnsiTheme="minorHAnsi"/>
        </w:rPr>
      </w:pPr>
    </w:p>
    <w:p w:rsidR="00174106" w:rsidRPr="00174106" w:rsidRDefault="00174106" w:rsidP="00174106">
      <w:pPr>
        <w:tabs>
          <w:tab w:val="left" w:pos="9870"/>
        </w:tabs>
        <w:ind w:left="9912"/>
        <w:rPr>
          <w:rFonts w:asciiTheme="minorHAnsi" w:hAnsiTheme="minorHAnsi"/>
          <w:b/>
        </w:rPr>
      </w:pPr>
      <w:r w:rsidRPr="00174106">
        <w:rPr>
          <w:rFonts w:asciiTheme="minorHAnsi" w:hAnsiTheme="minorHAnsi"/>
          <w:b/>
        </w:rPr>
        <w:t>НЕВЯНКА ТОДЕВА: / П /</w:t>
      </w:r>
    </w:p>
    <w:p w:rsidR="00174106" w:rsidRPr="00174106" w:rsidRDefault="00174106" w:rsidP="00174106">
      <w:pPr>
        <w:tabs>
          <w:tab w:val="left" w:pos="9870"/>
        </w:tabs>
        <w:ind w:left="9912"/>
        <w:rPr>
          <w:rFonts w:asciiTheme="minorHAnsi" w:hAnsiTheme="minorHAnsi"/>
        </w:rPr>
      </w:pPr>
      <w:r w:rsidRPr="00174106">
        <w:rPr>
          <w:rFonts w:asciiTheme="minorHAnsi" w:hAnsiTheme="minorHAnsi"/>
        </w:rPr>
        <w:t xml:space="preserve">ПРОТОКОЛИСТ НА </w:t>
      </w:r>
      <w:proofErr w:type="spellStart"/>
      <w:r w:rsidRPr="00174106">
        <w:rPr>
          <w:rFonts w:asciiTheme="minorHAnsi" w:hAnsiTheme="minorHAnsi"/>
        </w:rPr>
        <w:t>ОбС</w:t>
      </w:r>
      <w:proofErr w:type="spellEnd"/>
      <w:r w:rsidRPr="00174106">
        <w:rPr>
          <w:rFonts w:asciiTheme="minorHAnsi" w:hAnsiTheme="minorHAnsi"/>
        </w:rPr>
        <w:t xml:space="preserve"> ХИТРИНО</w:t>
      </w:r>
    </w:p>
    <w:sectPr w:rsidR="00174106" w:rsidRPr="00174106" w:rsidSect="00A4454E">
      <w:footerReference w:type="default" r:id="rId7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D8" w:rsidRDefault="00E27AD8" w:rsidP="00372A03">
      <w:r>
        <w:separator/>
      </w:r>
    </w:p>
  </w:endnote>
  <w:endnote w:type="continuationSeparator" w:id="0">
    <w:p w:rsidR="00E27AD8" w:rsidRDefault="00E27AD8" w:rsidP="0037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82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372A03" w:rsidRDefault="00372A03">
            <w:pPr>
              <w:pStyle w:val="a7"/>
              <w:jc w:val="right"/>
            </w:pPr>
            <w:r>
              <w:t xml:space="preserve">Страница </w:t>
            </w:r>
            <w:r w:rsidR="00B1346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13461">
              <w:rPr>
                <w:b/>
              </w:rPr>
              <w:fldChar w:fldCharType="separate"/>
            </w:r>
            <w:r w:rsidR="00174106">
              <w:rPr>
                <w:b/>
                <w:noProof/>
              </w:rPr>
              <w:t>7</w:t>
            </w:r>
            <w:r w:rsidR="00B13461">
              <w:rPr>
                <w:b/>
              </w:rPr>
              <w:fldChar w:fldCharType="end"/>
            </w:r>
            <w:r>
              <w:t xml:space="preserve"> от </w:t>
            </w:r>
            <w:r w:rsidR="00B1346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13461">
              <w:rPr>
                <w:b/>
              </w:rPr>
              <w:fldChar w:fldCharType="separate"/>
            </w:r>
            <w:r w:rsidR="00174106">
              <w:rPr>
                <w:b/>
                <w:noProof/>
              </w:rPr>
              <w:t>7</w:t>
            </w:r>
            <w:r w:rsidR="00B13461">
              <w:rPr>
                <w:b/>
              </w:rPr>
              <w:fldChar w:fldCharType="end"/>
            </w:r>
          </w:p>
        </w:sdtContent>
      </w:sdt>
    </w:sdtContent>
  </w:sdt>
  <w:p w:rsidR="00372A03" w:rsidRDefault="00372A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D8" w:rsidRDefault="00E27AD8" w:rsidP="00372A03">
      <w:r>
        <w:separator/>
      </w:r>
    </w:p>
  </w:footnote>
  <w:footnote w:type="continuationSeparator" w:id="0">
    <w:p w:rsidR="00E27AD8" w:rsidRDefault="00E27AD8" w:rsidP="00372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00C1"/>
    <w:multiLevelType w:val="hybridMultilevel"/>
    <w:tmpl w:val="F6780A64"/>
    <w:lvl w:ilvl="0" w:tplc="F8382978">
      <w:start w:val="1"/>
      <w:numFmt w:val="decimal"/>
      <w:lvlText w:val="%1."/>
      <w:lvlJc w:val="left"/>
      <w:pPr>
        <w:ind w:left="432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68607784"/>
    <w:multiLevelType w:val="hybridMultilevel"/>
    <w:tmpl w:val="AA680C6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2986906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A4C"/>
    <w:rsid w:val="00001E08"/>
    <w:rsid w:val="00025BEE"/>
    <w:rsid w:val="0003333F"/>
    <w:rsid w:val="00051A21"/>
    <w:rsid w:val="000555C9"/>
    <w:rsid w:val="00057BF9"/>
    <w:rsid w:val="000931BF"/>
    <w:rsid w:val="000E7D81"/>
    <w:rsid w:val="001016D7"/>
    <w:rsid w:val="00101CB6"/>
    <w:rsid w:val="00102770"/>
    <w:rsid w:val="00174106"/>
    <w:rsid w:val="001B6EDD"/>
    <w:rsid w:val="001E2C89"/>
    <w:rsid w:val="00250745"/>
    <w:rsid w:val="00281A73"/>
    <w:rsid w:val="002A05EC"/>
    <w:rsid w:val="002E5840"/>
    <w:rsid w:val="003021C3"/>
    <w:rsid w:val="003635DC"/>
    <w:rsid w:val="00372A03"/>
    <w:rsid w:val="00390427"/>
    <w:rsid w:val="003A798C"/>
    <w:rsid w:val="003B3C18"/>
    <w:rsid w:val="003D4A4C"/>
    <w:rsid w:val="004373D2"/>
    <w:rsid w:val="00443410"/>
    <w:rsid w:val="004846B2"/>
    <w:rsid w:val="00560AE3"/>
    <w:rsid w:val="00562A7C"/>
    <w:rsid w:val="005905AD"/>
    <w:rsid w:val="0059713E"/>
    <w:rsid w:val="005B5645"/>
    <w:rsid w:val="00662AEF"/>
    <w:rsid w:val="00684404"/>
    <w:rsid w:val="007D4F47"/>
    <w:rsid w:val="007D7732"/>
    <w:rsid w:val="007F7BF8"/>
    <w:rsid w:val="008249FE"/>
    <w:rsid w:val="00883E2F"/>
    <w:rsid w:val="008870E7"/>
    <w:rsid w:val="008B1AFE"/>
    <w:rsid w:val="008D7CBA"/>
    <w:rsid w:val="008F5A88"/>
    <w:rsid w:val="008F6313"/>
    <w:rsid w:val="009233A8"/>
    <w:rsid w:val="009268EE"/>
    <w:rsid w:val="009447EF"/>
    <w:rsid w:val="009469A1"/>
    <w:rsid w:val="00947841"/>
    <w:rsid w:val="00A106CB"/>
    <w:rsid w:val="00A119A9"/>
    <w:rsid w:val="00A4454E"/>
    <w:rsid w:val="00A621EB"/>
    <w:rsid w:val="00AE25E2"/>
    <w:rsid w:val="00AE2A65"/>
    <w:rsid w:val="00B13461"/>
    <w:rsid w:val="00B719CF"/>
    <w:rsid w:val="00B80B41"/>
    <w:rsid w:val="00B904CA"/>
    <w:rsid w:val="00B95060"/>
    <w:rsid w:val="00BB2368"/>
    <w:rsid w:val="00BB5FEF"/>
    <w:rsid w:val="00BE3445"/>
    <w:rsid w:val="00CF0B76"/>
    <w:rsid w:val="00CF22CF"/>
    <w:rsid w:val="00D104A3"/>
    <w:rsid w:val="00D108E9"/>
    <w:rsid w:val="00D464B3"/>
    <w:rsid w:val="00D671F6"/>
    <w:rsid w:val="00D80426"/>
    <w:rsid w:val="00D9622E"/>
    <w:rsid w:val="00E00E4E"/>
    <w:rsid w:val="00E10313"/>
    <w:rsid w:val="00E27AD8"/>
    <w:rsid w:val="00E40200"/>
    <w:rsid w:val="00E405A1"/>
    <w:rsid w:val="00EF3A12"/>
    <w:rsid w:val="00F2541A"/>
    <w:rsid w:val="00F300D1"/>
    <w:rsid w:val="00F35771"/>
    <w:rsid w:val="00FB6A33"/>
    <w:rsid w:val="00FF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4">
    <w:name w:val="Style64"/>
    <w:basedOn w:val="a"/>
    <w:uiPriority w:val="99"/>
    <w:rsid w:val="003A79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2">
    <w:name w:val="Font Style152"/>
    <w:basedOn w:val="a0"/>
    <w:uiPriority w:val="99"/>
    <w:rsid w:val="003A798C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Plain Text"/>
    <w:aliases w:val=" Char Char "/>
    <w:basedOn w:val="a"/>
    <w:link w:val="a4"/>
    <w:uiPriority w:val="99"/>
    <w:rsid w:val="005B5645"/>
    <w:rPr>
      <w:rFonts w:ascii="Courier New" w:hAnsi="Courier New"/>
      <w:sz w:val="20"/>
      <w:szCs w:val="20"/>
      <w:lang w:val="en-US" w:eastAsia="en-US"/>
    </w:rPr>
  </w:style>
  <w:style w:type="character" w:customStyle="1" w:styleId="a4">
    <w:name w:val="Обикновен текст Знак"/>
    <w:aliases w:val=" Char Char  Знак"/>
    <w:basedOn w:val="a0"/>
    <w:link w:val="a3"/>
    <w:uiPriority w:val="99"/>
    <w:rsid w:val="005B564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372A0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372A0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72A0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72A0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B9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2019-03-21T07:30:00Z</cp:lastPrinted>
  <dcterms:created xsi:type="dcterms:W3CDTF">2019-03-14T07:56:00Z</dcterms:created>
  <dcterms:modified xsi:type="dcterms:W3CDTF">2020-05-15T13:00:00Z</dcterms:modified>
</cp:coreProperties>
</file>